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rPr>
          <w:rStyle w:val="6"/>
          <w:rFonts w:hint="eastAsia" w:ascii="宋体" w:hAnsi="宋体" w:eastAsia="宋体" w:cs="宋体"/>
          <w:b/>
          <w:bCs w:val="0"/>
          <w:i w:val="0"/>
          <w:caps w:val="0"/>
          <w:color w:val="auto"/>
          <w:spacing w:val="0"/>
          <w:kern w:val="0"/>
          <w:sz w:val="44"/>
          <w:szCs w:val="44"/>
          <w:shd w:val="clear" w:fill="FFFFFF"/>
          <w:lang w:val="en-US" w:eastAsia="zh-CN" w:bidi="ar"/>
        </w:rPr>
      </w:pPr>
      <w:r>
        <w:rPr>
          <w:rStyle w:val="6"/>
          <w:rFonts w:hint="eastAsia" w:ascii="宋体" w:hAnsi="宋体" w:eastAsia="宋体" w:cs="宋体"/>
          <w:b/>
          <w:bCs w:val="0"/>
          <w:i w:val="0"/>
          <w:caps w:val="0"/>
          <w:color w:val="auto"/>
          <w:spacing w:val="0"/>
          <w:kern w:val="0"/>
          <w:sz w:val="44"/>
          <w:szCs w:val="44"/>
          <w:shd w:val="clear" w:fill="FFFFFF"/>
          <w:lang w:val="en-US" w:eastAsia="zh-CN" w:bidi="ar"/>
        </w:rPr>
        <w:t>广东省河源监狱公开遴选采购代理机构的公告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rPr>
          <w:rStyle w:val="6"/>
          <w:rFonts w:hint="eastAsia" w:ascii="宋体" w:hAnsi="宋体" w:eastAsia="宋体" w:cs="宋体"/>
          <w:b/>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为进一步落实深化政府采购制度改革要求，规范采购代理机构的选用及管理，现通过公开遴选方式建立本单位代理机构名录，欢迎具备相关条件的单位踊跃报名。相关事项公告如下：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560" w:lineRule="exact"/>
        <w:ind w:left="0" w:leftChars="0" w:right="0" w:rightChars="0" w:firstLine="640" w:firstLineChars="200"/>
        <w:jc w:val="both"/>
        <w:textAlignment w:val="auto"/>
        <w:outlineLvl w:val="9"/>
        <w:rPr>
          <w:rStyle w:val="6"/>
          <w:rFonts w:hint="eastAsia" w:ascii="黑体" w:hAnsi="黑体" w:eastAsia="黑体" w:cs="黑体"/>
          <w:b w:val="0"/>
          <w:bCs/>
          <w:i w:val="0"/>
          <w:caps w:val="0"/>
          <w:color w:val="auto"/>
          <w:spacing w:val="0"/>
          <w:sz w:val="32"/>
          <w:szCs w:val="32"/>
          <w:shd w:val="clear" w:fill="FFFFFF"/>
        </w:rPr>
      </w:pPr>
      <w:r>
        <w:rPr>
          <w:rStyle w:val="6"/>
          <w:rFonts w:hint="eastAsia" w:ascii="黑体" w:hAnsi="黑体" w:eastAsia="黑体" w:cs="黑体"/>
          <w:b w:val="0"/>
          <w:bCs/>
          <w:i w:val="0"/>
          <w:caps w:val="0"/>
          <w:color w:val="auto"/>
          <w:spacing w:val="0"/>
          <w:sz w:val="32"/>
          <w:szCs w:val="32"/>
          <w:shd w:val="clear" w:fill="FFFFFF"/>
          <w:lang w:val="en-US" w:eastAsia="zh-CN"/>
        </w:rPr>
        <w:t>一、</w:t>
      </w:r>
      <w:r>
        <w:rPr>
          <w:rStyle w:val="6"/>
          <w:rFonts w:hint="eastAsia" w:ascii="黑体" w:hAnsi="黑体" w:eastAsia="黑体" w:cs="黑体"/>
          <w:b w:val="0"/>
          <w:bCs/>
          <w:i w:val="0"/>
          <w:caps w:val="0"/>
          <w:color w:val="auto"/>
          <w:spacing w:val="0"/>
          <w:sz w:val="32"/>
          <w:szCs w:val="32"/>
          <w:shd w:val="clear" w:fill="FFFFFF"/>
        </w:rPr>
        <w:t>服务要求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rPr>
        <w:t>代理机构的服务内容，必须符合《中华人民共和国政府采购法》《中华人民共和国招标投标法》《政府采购代理机构管理暂行办法》等法规政策，以及《广东省省属监狱系统政府采购管理办法（试行）》</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广东省省属监狱单位非立项工程管理办法</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u w:val="none"/>
          <w:shd w:val="clear" w:fill="FFFFFF"/>
        </w:rPr>
        <w:t>广东省省属监狱系统采购代理机构管理工作指引</w:t>
      </w:r>
      <w:r>
        <w:rPr>
          <w:rFonts w:hint="eastAsia" w:ascii="仿宋" w:hAnsi="仿宋" w:eastAsia="仿宋" w:cs="仿宋"/>
          <w:i w:val="0"/>
          <w:caps w:val="0"/>
          <w:color w:val="auto"/>
          <w:spacing w:val="0"/>
          <w:sz w:val="32"/>
          <w:szCs w:val="32"/>
          <w:shd w:val="clear" w:fill="FFFFFF"/>
        </w:rPr>
        <w:t>（试行）》等规章制度的要求及标准。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代理机构的业务范围是代理采购人委托的招标采购项目（必须委托集中采购机构采购的项目除外），以及其他与采购业务相关的咨询、审查、论证等服务。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本次遴选10家采购代理机构（河源市范围5家，河源市以外5家）组成名录，并按推荐顺序保留3个申请人作为备选名单</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如名录内代理机构考核不合格予以清退的，由备选代理机构依次替补</w:t>
      </w:r>
      <w:r>
        <w:rPr>
          <w:rFonts w:hint="eastAsia" w:ascii="仿宋" w:hAnsi="仿宋" w:eastAsia="仿宋" w:cs="仿宋"/>
          <w:i w:val="0"/>
          <w:caps w:val="0"/>
          <w:color w:val="auto"/>
          <w:spacing w:val="0"/>
          <w:sz w:val="32"/>
          <w:szCs w:val="32"/>
          <w:shd w:val="clear" w:fill="FFFFFF"/>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Style w:val="6"/>
          <w:rFonts w:hint="eastAsia" w:ascii="黑体" w:hAnsi="黑体" w:eastAsia="黑体" w:cs="黑体"/>
          <w:b w:val="0"/>
          <w:bCs/>
          <w:i w:val="0"/>
          <w:caps w:val="0"/>
          <w:color w:val="auto"/>
          <w:spacing w:val="0"/>
          <w:sz w:val="32"/>
          <w:szCs w:val="32"/>
          <w:shd w:val="clear" w:fill="FFFFFF"/>
          <w:lang w:val="en-US" w:eastAsia="zh-CN"/>
        </w:rPr>
      </w:pPr>
      <w:r>
        <w:rPr>
          <w:rStyle w:val="6"/>
          <w:rFonts w:hint="eastAsia" w:ascii="黑体" w:hAnsi="黑体" w:eastAsia="黑体" w:cs="黑体"/>
          <w:b w:val="0"/>
          <w:bCs/>
          <w:i w:val="0"/>
          <w:caps w:val="0"/>
          <w:color w:val="auto"/>
          <w:spacing w:val="0"/>
          <w:sz w:val="32"/>
          <w:szCs w:val="32"/>
          <w:shd w:val="clear" w:fill="FFFFFF"/>
          <w:lang w:val="en-US" w:eastAsia="zh-CN"/>
        </w:rPr>
        <w:t>服务期限：</w:t>
      </w:r>
      <w:r>
        <w:rPr>
          <w:rStyle w:val="6"/>
          <w:rFonts w:hint="eastAsia" w:ascii="仿宋" w:hAnsi="仿宋" w:eastAsia="仿宋" w:cs="仿宋"/>
          <w:b w:val="0"/>
          <w:bCs/>
          <w:i w:val="0"/>
          <w:caps w:val="0"/>
          <w:color w:val="auto"/>
          <w:spacing w:val="0"/>
          <w:sz w:val="32"/>
          <w:szCs w:val="32"/>
          <w:shd w:val="clear" w:fill="FFFFFF"/>
          <w:lang w:val="en-US" w:eastAsia="zh-CN"/>
        </w:rPr>
        <w:t>2年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outlineLvl w:val="9"/>
        <w:rPr>
          <w:rFonts w:hint="eastAsia" w:ascii="黑体" w:hAnsi="黑体" w:eastAsia="黑体" w:cs="黑体"/>
          <w:b w:val="0"/>
          <w:bCs/>
          <w:i w:val="0"/>
          <w:caps w:val="0"/>
          <w:color w:val="auto"/>
          <w:spacing w:val="0"/>
          <w:sz w:val="27"/>
          <w:szCs w:val="27"/>
        </w:rPr>
      </w:pPr>
      <w:r>
        <w:rPr>
          <w:rStyle w:val="6"/>
          <w:rFonts w:hint="eastAsia" w:ascii="黑体" w:hAnsi="黑体" w:eastAsia="黑体" w:cs="黑体"/>
          <w:b w:val="0"/>
          <w:bCs/>
          <w:i w:val="0"/>
          <w:caps w:val="0"/>
          <w:color w:val="auto"/>
          <w:spacing w:val="0"/>
          <w:sz w:val="32"/>
          <w:szCs w:val="32"/>
          <w:shd w:val="clear" w:fill="FFFFFF"/>
          <w:lang w:val="en-US" w:eastAsia="zh-CN"/>
        </w:rPr>
        <w:t>三</w:t>
      </w:r>
      <w:r>
        <w:rPr>
          <w:rStyle w:val="6"/>
          <w:rFonts w:hint="eastAsia" w:ascii="黑体" w:hAnsi="黑体" w:eastAsia="黑体" w:cs="黑体"/>
          <w:b w:val="0"/>
          <w:bCs/>
          <w:i w:val="0"/>
          <w:caps w:val="0"/>
          <w:color w:val="auto"/>
          <w:spacing w:val="0"/>
          <w:sz w:val="32"/>
          <w:szCs w:val="32"/>
          <w:shd w:val="clear" w:fill="FFFFFF"/>
        </w:rPr>
        <w:t>、资质要求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一</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须具有中华人民共和国工商行政管理部门颁发的有效《企业法人营业执照》，且具备组织专家对采购计划及采购文件进行审查、论证及评审的能力（提供营业执照复印件，加盖公章；提供承诺函，格式自拟）。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（二）申请货物、服务、工程类（政府采购类）须在广东省政府采购智慧云平台登记备案并且开通操作账户，具有中国政府采购网发布信息权限（提供相关网站信息截图复印件，加盖公章）。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申请货物、服务、工程类（含政府采购类、预算400万元以上立项工程等），须在广东省政府采购智慧云平台、河源市公共资源交易中心网站登记备案并且开通操作账户，具有中国政府采购网、中国招标投标公共服务平台及广东省招投标监管网发布信息权限（提供相关网站信息截图复印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kern w:val="0"/>
          <w:sz w:val="32"/>
          <w:szCs w:val="32"/>
          <w:shd w:val="clear" w:fill="FFFFFF"/>
          <w:lang w:val="en-US" w:eastAsia="zh-CN" w:bidi="ar"/>
        </w:rPr>
        <w:t>（三）未被列入“信用中国”网站（www.creditchina.gov.cn）“记录失信被执行人或重大税收违法案件当事人名单或政府采购严重违法失信行为”记录名单；不处于中国政府采购网（www.ccgp.gov.cn）“政府采购严重违法失信行为”中的禁止参加政府采购活动期间；近3年（2021年1月起，下同）未被省属监狱单位处以退库处理的（提供相关网站信息截图复印件，加盖公章;提供承诺函，格式自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kern w:val="0"/>
          <w:sz w:val="32"/>
          <w:szCs w:val="32"/>
          <w:shd w:val="clear" w:fill="FFFFFF"/>
          <w:lang w:val="en-US" w:eastAsia="zh-CN" w:bidi="ar"/>
        </w:rPr>
        <w:t>（四）近3年未在经营活动中出现重大违法记录，自愿服从《广东省省属监狱系统采购代理机构管理工作指引（试行）》《广东省省属监狱系统委托代理采购项目工作规程（试行）》管理，严格自律，接受考核（提供承诺函，详见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kern w:val="0"/>
          <w:sz w:val="32"/>
          <w:szCs w:val="32"/>
          <w:shd w:val="clear" w:fill="FFFFFF"/>
          <w:lang w:val="en-US" w:eastAsia="zh-CN" w:bidi="ar"/>
        </w:rPr>
        <w:t>（五）拥有不少于5名熟悉政府采购法律法规、具备编制采购文件和组织采购活动等相应能力的专职从业人员（提供专职从业人员截至2023年7月31日内6个月内任意一个月社保证明等相关材料，加盖公章；提供承诺函，格式自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六）须具备独立的开标室（1间或以上），评标室（2间或以上），且开、评标室内配备计算机设备及监控设施，满足正常开展招标采购工作的要求（提供房产证或租赁合同复印件、开评标室照片、计算机设备及监控系统图片，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（七）公司总部或分设机构营业地址仅限广东省范围内。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Style w:val="6"/>
          <w:rFonts w:hint="eastAsia" w:ascii="黑体" w:hAnsi="黑体" w:eastAsia="黑体" w:cs="黑体"/>
          <w:b w:val="0"/>
          <w:bCs/>
          <w:i w:val="0"/>
          <w:caps w:val="0"/>
          <w:color w:val="auto"/>
          <w:spacing w:val="0"/>
          <w:sz w:val="32"/>
          <w:szCs w:val="32"/>
          <w:shd w:val="clear" w:fill="FFFFFF"/>
        </w:rPr>
      </w:pPr>
      <w:r>
        <w:rPr>
          <w:rStyle w:val="6"/>
          <w:rFonts w:hint="eastAsia" w:ascii="黑体" w:hAnsi="黑体" w:eastAsia="黑体" w:cs="黑体"/>
          <w:b w:val="0"/>
          <w:bCs/>
          <w:i w:val="0"/>
          <w:caps w:val="0"/>
          <w:color w:val="auto"/>
          <w:spacing w:val="0"/>
          <w:sz w:val="32"/>
          <w:szCs w:val="32"/>
          <w:shd w:val="clear" w:fill="FFFFFF"/>
          <w:lang w:val="en-US" w:eastAsia="zh-CN"/>
        </w:rPr>
        <w:t>四</w:t>
      </w:r>
      <w:r>
        <w:rPr>
          <w:rStyle w:val="6"/>
          <w:rFonts w:hint="eastAsia" w:ascii="黑体" w:hAnsi="黑体" w:eastAsia="黑体" w:cs="黑体"/>
          <w:b w:val="0"/>
          <w:bCs/>
          <w:i w:val="0"/>
          <w:caps w:val="0"/>
          <w:color w:val="auto"/>
          <w:spacing w:val="0"/>
          <w:sz w:val="32"/>
          <w:szCs w:val="32"/>
          <w:shd w:val="clear" w:fill="FFFFFF"/>
        </w:rPr>
        <w:t>、申请文件</w:t>
      </w:r>
      <w:r>
        <w:rPr>
          <w:rStyle w:val="6"/>
          <w:rFonts w:hint="eastAsia" w:ascii="黑体" w:hAnsi="黑体" w:eastAsia="黑体" w:cs="黑体"/>
          <w:b w:val="0"/>
          <w:bCs/>
          <w:i w:val="0"/>
          <w:caps w:val="0"/>
          <w:color w:val="auto"/>
          <w:spacing w:val="0"/>
          <w:sz w:val="32"/>
          <w:szCs w:val="32"/>
          <w:shd w:val="clear" w:fill="FFFFFF"/>
          <w:lang w:val="en-US" w:eastAsia="zh-CN"/>
        </w:rPr>
        <w:t>制作</w:t>
      </w:r>
      <w:r>
        <w:rPr>
          <w:rStyle w:val="6"/>
          <w:rFonts w:hint="eastAsia" w:ascii="黑体" w:hAnsi="黑体" w:eastAsia="黑体" w:cs="黑体"/>
          <w:b w:val="0"/>
          <w:bCs/>
          <w:i w:val="0"/>
          <w:caps w:val="0"/>
          <w:color w:val="auto"/>
          <w:spacing w:val="0"/>
          <w:sz w:val="32"/>
          <w:szCs w:val="32"/>
          <w:shd w:val="clear" w:fill="FFFFFF"/>
        </w:rPr>
        <w:t>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rPr>
        <w:t>申请人应编制申请文件。申请文件包括但不限于以下内容：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一</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基本资料：公司基本情况、法定代表人身份证明书或法定代表人授权委托书、廉洁自律承诺保证书</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样稿详见附件3</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二</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资格审查资料：详见正文“资质要求”;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三</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价格评审资料：详见综合评分表价格部分的要求;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四</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商务评审资料：详见综合评分表商务部分的要求;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五</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技术评审资料：详见综合评分表技术部分的要求;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六</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其他响应资料：如本公司内部管理、监督制度等，格式自拟。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i w:val="0"/>
          <w:caps w:val="0"/>
          <w:color w:val="auto"/>
          <w:spacing w:val="0"/>
          <w:sz w:val="32"/>
          <w:szCs w:val="32"/>
          <w:shd w:val="clear" w:fill="FFFFFF"/>
        </w:rPr>
        <w:t>注：上述材料（复印件加盖公章，原件留作备查）必须按以上顺序编制目录，用A4纸装订成册，一式2份。所送达的申请文件须密封包装，包装外应当注明“广东省</w:t>
      </w:r>
      <w:r>
        <w:rPr>
          <w:rFonts w:hint="eastAsia" w:ascii="仿宋" w:hAnsi="仿宋" w:eastAsia="仿宋" w:cs="仿宋"/>
          <w:i w:val="0"/>
          <w:caps w:val="0"/>
          <w:color w:val="auto"/>
          <w:spacing w:val="0"/>
          <w:sz w:val="32"/>
          <w:szCs w:val="32"/>
          <w:shd w:val="clear" w:fill="FFFFFF"/>
          <w:lang w:val="en-US" w:eastAsia="zh-CN"/>
        </w:rPr>
        <w:t>河源监狱</w:t>
      </w:r>
      <w:r>
        <w:rPr>
          <w:rFonts w:hint="eastAsia" w:ascii="仿宋" w:hAnsi="仿宋" w:eastAsia="仿宋" w:cs="仿宋"/>
          <w:i w:val="0"/>
          <w:caps w:val="0"/>
          <w:color w:val="auto"/>
          <w:spacing w:val="0"/>
          <w:sz w:val="32"/>
          <w:szCs w:val="32"/>
          <w:shd w:val="clear" w:fill="FFFFFF"/>
        </w:rPr>
        <w:t>采购代理机构遴选申请文件”、</w:t>
      </w:r>
      <w:r>
        <w:rPr>
          <w:rFonts w:hint="eastAsia" w:ascii="仿宋" w:hAnsi="仿宋" w:eastAsia="仿宋" w:cs="仿宋"/>
          <w:i w:val="0"/>
          <w:caps w:val="0"/>
          <w:color w:val="auto"/>
          <w:spacing w:val="0"/>
          <w:sz w:val="32"/>
          <w:szCs w:val="32"/>
          <w:shd w:val="clear" w:fill="FFFFFF"/>
          <w:lang w:val="en-US" w:eastAsia="zh-CN"/>
        </w:rPr>
        <w:t>公司</w:t>
      </w:r>
      <w:r>
        <w:rPr>
          <w:rFonts w:hint="eastAsia" w:ascii="仿宋" w:hAnsi="仿宋" w:eastAsia="仿宋" w:cs="仿宋"/>
          <w:i w:val="0"/>
          <w:caps w:val="0"/>
          <w:color w:val="auto"/>
          <w:spacing w:val="0"/>
          <w:sz w:val="32"/>
          <w:szCs w:val="32"/>
          <w:shd w:val="clear" w:fill="FFFFFF"/>
        </w:rPr>
        <w:t>名称和“在202</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u w:val="single"/>
          <w:shd w:val="clear" w:fill="FFFFFF"/>
          <w:lang w:val="en-US" w:eastAsia="zh-CN"/>
        </w:rPr>
        <w:t>9</w:t>
      </w:r>
      <w:r>
        <w:rPr>
          <w:rFonts w:hint="eastAsia" w:ascii="仿宋" w:hAnsi="仿宋" w:eastAsia="仿宋" w:cs="仿宋"/>
          <w:i w:val="0"/>
          <w:caps w:val="0"/>
          <w:color w:val="auto"/>
          <w:spacing w:val="0"/>
          <w:sz w:val="32"/>
          <w:szCs w:val="32"/>
          <w:shd w:val="clear" w:fill="FFFFFF"/>
        </w:rPr>
        <w:t>月</w:t>
      </w:r>
      <w:r>
        <w:rPr>
          <w:rFonts w:hint="eastAsia" w:ascii="仿宋" w:hAnsi="仿宋" w:eastAsia="仿宋" w:cs="仿宋"/>
          <w:i w:val="0"/>
          <w:caps w:val="0"/>
          <w:color w:val="auto"/>
          <w:spacing w:val="0"/>
          <w:sz w:val="32"/>
          <w:szCs w:val="32"/>
          <w:u w:val="single"/>
          <w:shd w:val="clear" w:fill="FFFFFF"/>
          <w:lang w:val="en-US" w:eastAsia="zh-CN"/>
        </w:rPr>
        <w:t>11</w:t>
      </w:r>
      <w:r>
        <w:rPr>
          <w:rFonts w:hint="eastAsia" w:ascii="仿宋" w:hAnsi="仿宋" w:eastAsia="仿宋" w:cs="仿宋"/>
          <w:i w:val="0"/>
          <w:caps w:val="0"/>
          <w:color w:val="auto"/>
          <w:spacing w:val="0"/>
          <w:sz w:val="32"/>
          <w:szCs w:val="32"/>
          <w:shd w:val="clear" w:fill="FFFFFF"/>
        </w:rPr>
        <w:t>日9:00之前不得启封”的字样，封口处应加盖申请人公章。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outlineLvl w:val="9"/>
        <w:rPr>
          <w:rStyle w:val="6"/>
          <w:rFonts w:hint="eastAsia" w:ascii="黑体" w:hAnsi="黑体" w:eastAsia="黑体" w:cs="黑体"/>
          <w:b w:val="0"/>
          <w:bCs/>
          <w:i w:val="0"/>
          <w:caps w:val="0"/>
          <w:color w:val="auto"/>
          <w:spacing w:val="0"/>
          <w:sz w:val="32"/>
          <w:szCs w:val="32"/>
          <w:shd w:val="clear" w:fill="FFFFFF"/>
        </w:rPr>
      </w:pPr>
      <w:r>
        <w:rPr>
          <w:rStyle w:val="6"/>
          <w:rFonts w:hint="eastAsia" w:ascii="黑体" w:hAnsi="黑体" w:eastAsia="黑体" w:cs="黑体"/>
          <w:b w:val="0"/>
          <w:bCs/>
          <w:i w:val="0"/>
          <w:caps w:val="0"/>
          <w:color w:val="auto"/>
          <w:spacing w:val="0"/>
          <w:sz w:val="32"/>
          <w:szCs w:val="32"/>
          <w:shd w:val="clear" w:fill="FFFFFF"/>
          <w:lang w:val="en-US" w:eastAsia="zh-CN"/>
        </w:rPr>
        <w:t>五</w:t>
      </w:r>
      <w:r>
        <w:rPr>
          <w:rStyle w:val="6"/>
          <w:rFonts w:hint="eastAsia" w:ascii="黑体" w:hAnsi="黑体" w:eastAsia="黑体" w:cs="黑体"/>
          <w:b w:val="0"/>
          <w:bCs/>
          <w:i w:val="0"/>
          <w:caps w:val="0"/>
          <w:color w:val="auto"/>
          <w:spacing w:val="0"/>
          <w:sz w:val="32"/>
          <w:szCs w:val="32"/>
          <w:shd w:val="clear" w:fill="FFFFFF"/>
        </w:rPr>
        <w:t>、遴选</w:t>
      </w:r>
      <w:r>
        <w:rPr>
          <w:rStyle w:val="6"/>
          <w:rFonts w:hint="eastAsia" w:ascii="黑体" w:hAnsi="黑体" w:eastAsia="黑体" w:cs="黑体"/>
          <w:b w:val="0"/>
          <w:bCs/>
          <w:i w:val="0"/>
          <w:caps w:val="0"/>
          <w:color w:val="auto"/>
          <w:spacing w:val="0"/>
          <w:sz w:val="32"/>
          <w:szCs w:val="32"/>
          <w:shd w:val="clear" w:fill="FFFFFF"/>
          <w:lang w:val="en-US" w:eastAsia="zh-CN"/>
        </w:rPr>
        <w:t>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outlineLvl w:val="9"/>
        <w:rPr>
          <w:rFonts w:hint="eastAsia" w:ascii="仿宋" w:hAnsi="仿宋" w:eastAsia="仿宋" w:cs="仿宋"/>
          <w:i w:val="0"/>
          <w:caps w:val="0"/>
          <w:color w:val="auto"/>
          <w:spacing w:val="0"/>
          <w:sz w:val="27"/>
          <w:szCs w:val="27"/>
        </w:rPr>
      </w:pPr>
      <w:r>
        <w:rPr>
          <w:rFonts w:hint="eastAsia" w:ascii="楷体" w:hAnsi="楷体" w:eastAsia="楷体" w:cs="楷体"/>
          <w:b/>
          <w:bCs/>
          <w:i w:val="0"/>
          <w:caps w:val="0"/>
          <w:color w:val="auto"/>
          <w:spacing w:val="0"/>
          <w:sz w:val="32"/>
          <w:szCs w:val="32"/>
          <w:shd w:val="clear" w:fill="FFFFFF"/>
          <w:lang w:eastAsia="zh-CN"/>
        </w:rPr>
        <w:t>（</w:t>
      </w:r>
      <w:r>
        <w:rPr>
          <w:rFonts w:hint="eastAsia" w:ascii="楷体" w:hAnsi="楷体" w:eastAsia="楷体" w:cs="楷体"/>
          <w:b/>
          <w:bCs/>
          <w:i w:val="0"/>
          <w:caps w:val="0"/>
          <w:color w:val="auto"/>
          <w:spacing w:val="0"/>
          <w:sz w:val="32"/>
          <w:szCs w:val="32"/>
          <w:shd w:val="clear" w:fill="FFFFFF"/>
          <w:lang w:val="en-US" w:eastAsia="zh-CN"/>
        </w:rPr>
        <w:t>一</w:t>
      </w:r>
      <w:r>
        <w:rPr>
          <w:rFonts w:hint="eastAsia" w:ascii="楷体" w:hAnsi="楷体" w:eastAsia="楷体" w:cs="楷体"/>
          <w:b/>
          <w:bCs/>
          <w:i w:val="0"/>
          <w:caps w:val="0"/>
          <w:color w:val="auto"/>
          <w:spacing w:val="0"/>
          <w:sz w:val="32"/>
          <w:szCs w:val="32"/>
          <w:shd w:val="clear" w:fill="FFFFFF"/>
          <w:lang w:eastAsia="zh-CN"/>
        </w:rPr>
        <w:t>）</w:t>
      </w:r>
      <w:r>
        <w:rPr>
          <w:rFonts w:hint="eastAsia" w:ascii="楷体" w:hAnsi="楷体" w:eastAsia="楷体" w:cs="楷体"/>
          <w:b/>
          <w:bCs/>
          <w:i w:val="0"/>
          <w:caps w:val="0"/>
          <w:color w:val="auto"/>
          <w:spacing w:val="0"/>
          <w:sz w:val="32"/>
          <w:szCs w:val="32"/>
          <w:shd w:val="clear" w:fill="FFFFFF"/>
          <w:lang w:val="en-US" w:eastAsia="zh-CN"/>
        </w:rPr>
        <w:t>申请报名。</w:t>
      </w:r>
      <w:r>
        <w:rPr>
          <w:rFonts w:hint="eastAsia" w:ascii="仿宋" w:hAnsi="仿宋" w:eastAsia="仿宋" w:cs="仿宋"/>
          <w:i w:val="0"/>
          <w:caps w:val="0"/>
          <w:color w:val="auto"/>
          <w:spacing w:val="0"/>
          <w:sz w:val="32"/>
          <w:szCs w:val="32"/>
          <w:shd w:val="clear" w:fill="FFFFFF"/>
        </w:rPr>
        <w:t>本次遴选活动报名采取网上报名的方式进行。申请人自行下载《报名表》</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见附件1</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，如实填写并加盖公章，在报名时间截止前</w:t>
      </w:r>
      <w:r>
        <w:rPr>
          <w:rStyle w:val="6"/>
          <w:rFonts w:hint="eastAsia" w:ascii="仿宋" w:hAnsi="仿宋" w:eastAsia="仿宋" w:cs="仿宋"/>
          <w:b/>
          <w:i w:val="0"/>
          <w:caps w:val="0"/>
          <w:color w:val="auto"/>
          <w:spacing w:val="0"/>
          <w:sz w:val="32"/>
          <w:szCs w:val="32"/>
          <w:shd w:val="clear" w:fill="FFFFFF"/>
          <w:lang w:eastAsia="zh-CN"/>
        </w:rPr>
        <w:t>（</w:t>
      </w:r>
      <w:r>
        <w:rPr>
          <w:rStyle w:val="6"/>
          <w:rFonts w:hint="eastAsia" w:ascii="仿宋" w:hAnsi="仿宋" w:eastAsia="仿宋" w:cs="仿宋"/>
          <w:b/>
          <w:i w:val="0"/>
          <w:caps w:val="0"/>
          <w:color w:val="auto"/>
          <w:spacing w:val="0"/>
          <w:sz w:val="32"/>
          <w:szCs w:val="32"/>
          <w:shd w:val="clear" w:fill="FFFFFF"/>
          <w:lang w:val="en-US" w:eastAsia="zh-CN"/>
        </w:rPr>
        <w:t>2023</w:t>
      </w:r>
      <w:r>
        <w:rPr>
          <w:rStyle w:val="6"/>
          <w:rFonts w:hint="eastAsia" w:ascii="仿宋" w:hAnsi="仿宋" w:eastAsia="仿宋" w:cs="仿宋"/>
          <w:b/>
          <w:i w:val="0"/>
          <w:caps w:val="0"/>
          <w:color w:val="auto"/>
          <w:spacing w:val="0"/>
          <w:sz w:val="32"/>
          <w:szCs w:val="32"/>
          <w:shd w:val="clear" w:fill="FFFFFF"/>
        </w:rPr>
        <w:t>年</w:t>
      </w:r>
      <w:r>
        <w:rPr>
          <w:rFonts w:hint="eastAsia" w:ascii="仿宋" w:hAnsi="仿宋" w:eastAsia="仿宋" w:cs="仿宋"/>
          <w:i w:val="0"/>
          <w:caps w:val="0"/>
          <w:color w:val="auto"/>
          <w:spacing w:val="0"/>
          <w:kern w:val="0"/>
          <w:sz w:val="32"/>
          <w:szCs w:val="32"/>
          <w:u w:val="single"/>
          <w:shd w:val="clear" w:fill="FFFFFF"/>
          <w:lang w:val="en-US" w:eastAsia="zh-CN" w:bidi="ar"/>
        </w:rPr>
        <w:t>9</w:t>
      </w:r>
      <w:r>
        <w:rPr>
          <w:rStyle w:val="6"/>
          <w:rFonts w:hint="eastAsia" w:ascii="仿宋" w:hAnsi="仿宋" w:eastAsia="仿宋" w:cs="仿宋"/>
          <w:b/>
          <w:i w:val="0"/>
          <w:caps w:val="0"/>
          <w:color w:val="auto"/>
          <w:spacing w:val="0"/>
          <w:sz w:val="32"/>
          <w:szCs w:val="32"/>
          <w:shd w:val="clear" w:fill="FFFFFF"/>
        </w:rPr>
        <w:t>月</w:t>
      </w:r>
      <w:r>
        <w:rPr>
          <w:rStyle w:val="6"/>
          <w:rFonts w:hint="eastAsia" w:ascii="仿宋" w:hAnsi="仿宋" w:eastAsia="仿宋" w:cs="仿宋"/>
          <w:b/>
          <w:i w:val="0"/>
          <w:caps w:val="0"/>
          <w:color w:val="auto"/>
          <w:spacing w:val="0"/>
          <w:sz w:val="32"/>
          <w:szCs w:val="32"/>
          <w:u w:val="single"/>
          <w:shd w:val="clear" w:fill="FFFFFF"/>
          <w:lang w:val="en-US" w:eastAsia="zh-CN"/>
        </w:rPr>
        <w:t>5</w:t>
      </w:r>
      <w:r>
        <w:rPr>
          <w:rStyle w:val="6"/>
          <w:rFonts w:hint="eastAsia" w:ascii="仿宋" w:hAnsi="仿宋" w:eastAsia="仿宋" w:cs="仿宋"/>
          <w:b/>
          <w:i w:val="0"/>
          <w:caps w:val="0"/>
          <w:color w:val="auto"/>
          <w:spacing w:val="0"/>
          <w:sz w:val="32"/>
          <w:szCs w:val="32"/>
          <w:shd w:val="clear" w:fill="FFFFFF"/>
        </w:rPr>
        <w:t>日下午17:00前，逾期报名无效)</w:t>
      </w:r>
      <w:r>
        <w:rPr>
          <w:rFonts w:hint="eastAsia" w:ascii="仿宋" w:hAnsi="仿宋" w:eastAsia="仿宋" w:cs="仿宋"/>
          <w:i w:val="0"/>
          <w:caps w:val="0"/>
          <w:color w:val="auto"/>
          <w:spacing w:val="0"/>
          <w:sz w:val="32"/>
          <w:szCs w:val="32"/>
          <w:shd w:val="clear" w:fill="FFFFFF"/>
        </w:rPr>
        <w:t>，将报名表扫描件发送电子邮箱(</w:t>
      </w:r>
      <w:r>
        <w:rPr>
          <w:rFonts w:hint="eastAsia" w:ascii="仿宋" w:hAnsi="仿宋" w:eastAsia="仿宋" w:cs="仿宋"/>
          <w:sz w:val="32"/>
          <w:szCs w:val="32"/>
          <w:lang w:val="en-US" w:eastAsia="zh-CN"/>
        </w:rPr>
        <w:t>hyjygck</w:t>
      </w:r>
      <w:r>
        <w:rPr>
          <w:rFonts w:hint="eastAsia" w:ascii="仿宋" w:hAnsi="仿宋" w:eastAsia="仿宋" w:cs="仿宋"/>
          <w:sz w:val="32"/>
          <w:szCs w:val="32"/>
          <w:u w:val="none"/>
          <w:lang w:val="en-US" w:eastAsia="zh-CN"/>
        </w:rPr>
        <w:t>@126.com</w:t>
      </w:r>
      <w:r>
        <w:rPr>
          <w:rFonts w:hint="eastAsia" w:ascii="仿宋" w:hAnsi="仿宋" w:eastAsia="仿宋" w:cs="仿宋"/>
          <w:i w:val="0"/>
          <w:caps w:val="0"/>
          <w:color w:val="auto"/>
          <w:spacing w:val="0"/>
          <w:sz w:val="32"/>
          <w:szCs w:val="32"/>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3" w:firstLineChars="200"/>
        <w:jc w:val="both"/>
        <w:outlineLvl w:val="9"/>
        <w:rPr>
          <w:rFonts w:hint="eastAsia" w:ascii="仿宋" w:hAnsi="仿宋" w:eastAsia="仿宋" w:cs="仿宋"/>
          <w:b/>
          <w:bCs w:val="0"/>
          <w:i w:val="0"/>
          <w:caps w:val="0"/>
          <w:color w:val="auto"/>
          <w:spacing w:val="0"/>
          <w:kern w:val="0"/>
          <w:sz w:val="32"/>
          <w:szCs w:val="32"/>
          <w:u w:val="single"/>
          <w:shd w:val="clear" w:fill="FFFFFF"/>
          <w:lang w:val="en-US" w:eastAsia="zh-CN" w:bidi="ar"/>
        </w:rPr>
      </w:pPr>
      <w:r>
        <w:rPr>
          <w:rFonts w:hint="eastAsia" w:ascii="楷体" w:hAnsi="楷体" w:eastAsia="楷体" w:cs="楷体"/>
          <w:b/>
          <w:bCs/>
          <w:i w:val="0"/>
          <w:caps w:val="0"/>
          <w:color w:val="auto"/>
          <w:spacing w:val="0"/>
          <w:kern w:val="0"/>
          <w:sz w:val="32"/>
          <w:szCs w:val="32"/>
          <w:shd w:val="clear" w:fill="FFFFFF"/>
          <w:lang w:val="en-US" w:eastAsia="zh-CN" w:bidi="ar"/>
        </w:rPr>
        <w:t>（二）递交申请文件。</w:t>
      </w:r>
      <w:r>
        <w:rPr>
          <w:rFonts w:hint="eastAsia" w:ascii="仿宋" w:hAnsi="仿宋" w:eastAsia="仿宋" w:cs="仿宋"/>
          <w:i w:val="0"/>
          <w:caps w:val="0"/>
          <w:color w:val="auto"/>
          <w:spacing w:val="0"/>
          <w:kern w:val="0"/>
          <w:sz w:val="32"/>
          <w:szCs w:val="32"/>
          <w:shd w:val="clear" w:fill="FFFFFF"/>
          <w:lang w:val="en-US" w:eastAsia="zh-CN" w:bidi="ar"/>
        </w:rPr>
        <w:t>公告截止当日（</w:t>
      </w:r>
      <w:r>
        <w:rPr>
          <w:rStyle w:val="6"/>
          <w:rFonts w:hint="eastAsia" w:ascii="仿宋" w:hAnsi="仿宋" w:eastAsia="仿宋" w:cs="仿宋"/>
          <w:b/>
          <w:i w:val="0"/>
          <w:caps w:val="0"/>
          <w:color w:val="auto"/>
          <w:spacing w:val="0"/>
          <w:sz w:val="32"/>
          <w:szCs w:val="32"/>
          <w:shd w:val="clear" w:fill="FFFFFF"/>
          <w:lang w:val="en-US" w:eastAsia="zh-CN"/>
        </w:rPr>
        <w:t>2023</w:t>
      </w:r>
      <w:r>
        <w:rPr>
          <w:rStyle w:val="6"/>
          <w:rFonts w:hint="eastAsia" w:ascii="仿宋" w:hAnsi="仿宋" w:eastAsia="仿宋" w:cs="仿宋"/>
          <w:b/>
          <w:i w:val="0"/>
          <w:caps w:val="0"/>
          <w:color w:val="auto"/>
          <w:spacing w:val="0"/>
          <w:sz w:val="32"/>
          <w:szCs w:val="32"/>
          <w:shd w:val="clear" w:fill="FFFFFF"/>
        </w:rPr>
        <w:t>年</w:t>
      </w:r>
      <w:r>
        <w:rPr>
          <w:rFonts w:hint="eastAsia" w:ascii="仿宋" w:hAnsi="仿宋" w:eastAsia="仿宋" w:cs="仿宋"/>
          <w:i w:val="0"/>
          <w:caps w:val="0"/>
          <w:color w:val="auto"/>
          <w:spacing w:val="0"/>
          <w:kern w:val="0"/>
          <w:sz w:val="32"/>
          <w:szCs w:val="32"/>
          <w:u w:val="single"/>
          <w:shd w:val="clear" w:fill="FFFFFF"/>
          <w:lang w:val="en-US" w:eastAsia="zh-CN" w:bidi="ar"/>
        </w:rPr>
        <w:t>9</w:t>
      </w:r>
      <w:r>
        <w:rPr>
          <w:rStyle w:val="6"/>
          <w:rFonts w:hint="eastAsia" w:ascii="仿宋" w:hAnsi="仿宋" w:eastAsia="仿宋" w:cs="仿宋"/>
          <w:b/>
          <w:i w:val="0"/>
          <w:caps w:val="0"/>
          <w:color w:val="auto"/>
          <w:spacing w:val="0"/>
          <w:sz w:val="32"/>
          <w:szCs w:val="32"/>
          <w:shd w:val="clear" w:fill="FFFFFF"/>
        </w:rPr>
        <w:t>月</w:t>
      </w:r>
      <w:r>
        <w:rPr>
          <w:rStyle w:val="6"/>
          <w:rFonts w:hint="eastAsia" w:ascii="仿宋" w:hAnsi="仿宋" w:eastAsia="仿宋" w:cs="仿宋"/>
          <w:b/>
          <w:i w:val="0"/>
          <w:caps w:val="0"/>
          <w:color w:val="auto"/>
          <w:spacing w:val="0"/>
          <w:sz w:val="32"/>
          <w:szCs w:val="32"/>
          <w:u w:val="single"/>
          <w:shd w:val="clear" w:fill="FFFFFF"/>
          <w:lang w:val="en-US" w:eastAsia="zh-CN"/>
        </w:rPr>
        <w:t>8</w:t>
      </w:r>
      <w:r>
        <w:rPr>
          <w:rStyle w:val="6"/>
          <w:rFonts w:hint="eastAsia" w:ascii="仿宋" w:hAnsi="仿宋" w:eastAsia="仿宋" w:cs="仿宋"/>
          <w:b/>
          <w:i w:val="0"/>
          <w:caps w:val="0"/>
          <w:color w:val="auto"/>
          <w:spacing w:val="0"/>
          <w:sz w:val="32"/>
          <w:szCs w:val="32"/>
          <w:shd w:val="clear" w:fill="FFFFFF"/>
        </w:rPr>
        <w:t>日</w:t>
      </w:r>
      <w:r>
        <w:rPr>
          <w:rStyle w:val="6"/>
          <w:rFonts w:hint="eastAsia" w:ascii="仿宋" w:hAnsi="仿宋" w:eastAsia="仿宋" w:cs="仿宋"/>
          <w:b/>
          <w:i w:val="0"/>
          <w:caps w:val="0"/>
          <w:color w:val="auto"/>
          <w:spacing w:val="0"/>
          <w:sz w:val="32"/>
          <w:szCs w:val="32"/>
          <w:shd w:val="clear" w:fill="FFFFFF"/>
          <w:lang w:eastAsia="zh-CN"/>
        </w:rPr>
        <w:t>，</w:t>
      </w:r>
      <w:r>
        <w:rPr>
          <w:rFonts w:hint="eastAsia" w:ascii="仿宋" w:hAnsi="仿宋" w:eastAsia="仿宋" w:cs="仿宋"/>
          <w:i w:val="0"/>
          <w:caps w:val="0"/>
          <w:color w:val="auto"/>
          <w:spacing w:val="0"/>
          <w:kern w:val="0"/>
          <w:sz w:val="32"/>
          <w:szCs w:val="32"/>
          <w:shd w:val="clear" w:fill="FFFFFF"/>
          <w:lang w:val="en-US" w:eastAsia="zh-CN" w:bidi="ar"/>
        </w:rPr>
        <w:t>上午8：30至12:00,下午14:00至17:30），递交申请文件（申请文件必须密封完好），采取现场递交方式将《遴选申请文件》（以下简称“申请文件”）现场送达并签收，</w:t>
      </w:r>
      <w:r>
        <w:rPr>
          <w:rStyle w:val="6"/>
          <w:rFonts w:hint="eastAsia" w:ascii="仿宋" w:hAnsi="仿宋" w:eastAsia="仿宋" w:cs="仿宋"/>
          <w:b/>
          <w:bCs w:val="0"/>
          <w:i w:val="0"/>
          <w:caps w:val="0"/>
          <w:color w:val="auto"/>
          <w:spacing w:val="0"/>
          <w:kern w:val="0"/>
          <w:sz w:val="32"/>
          <w:szCs w:val="32"/>
          <w:u w:val="single"/>
          <w:shd w:val="clear" w:fill="FFFFFF"/>
          <w:lang w:val="en-US" w:eastAsia="zh-CN" w:bidi="ar"/>
        </w:rPr>
        <w:t>申请人仅递交申请文件，未通过电子邮箱发送报名表、</w:t>
      </w:r>
      <w:r>
        <w:rPr>
          <w:rFonts w:hint="eastAsia" w:ascii="仿宋" w:hAnsi="仿宋" w:eastAsia="仿宋" w:cs="仿宋"/>
          <w:b/>
          <w:bCs w:val="0"/>
          <w:i w:val="0"/>
          <w:caps w:val="0"/>
          <w:color w:val="auto"/>
          <w:spacing w:val="0"/>
          <w:kern w:val="0"/>
          <w:sz w:val="32"/>
          <w:szCs w:val="32"/>
          <w:u w:val="single"/>
          <w:shd w:val="clear" w:fill="FFFFFF"/>
          <w:lang w:val="en-US" w:eastAsia="zh-CN" w:bidi="ar"/>
        </w:rPr>
        <w:t>逾期送达或不按要求报送申请文件的将予以拒收。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报名时间截止前，若报名单位不</w:t>
      </w:r>
      <w:r>
        <w:rPr>
          <w:rFonts w:hint="eastAsia" w:ascii="仿宋" w:hAnsi="仿宋" w:eastAsia="仿宋" w:cs="仿宋"/>
          <w:i w:val="0"/>
          <w:caps w:val="0"/>
          <w:color w:val="auto"/>
          <w:spacing w:val="0"/>
          <w:sz w:val="32"/>
          <w:szCs w:val="32"/>
          <w:shd w:val="clear" w:fill="FFFFFF"/>
          <w:lang w:val="en-US" w:eastAsia="zh-CN"/>
        </w:rPr>
        <w:t>满足最终选取所需</w:t>
      </w:r>
      <w:r>
        <w:rPr>
          <w:rFonts w:hint="eastAsia" w:ascii="仿宋" w:hAnsi="仿宋" w:eastAsia="仿宋" w:cs="仿宋"/>
          <w:i w:val="0"/>
          <w:caps w:val="0"/>
          <w:color w:val="auto"/>
          <w:spacing w:val="0"/>
          <w:sz w:val="32"/>
          <w:szCs w:val="32"/>
          <w:shd w:val="clear" w:fill="FFFFFF"/>
        </w:rPr>
        <w:t>家</w:t>
      </w:r>
      <w:r>
        <w:rPr>
          <w:rFonts w:hint="eastAsia" w:ascii="仿宋" w:hAnsi="仿宋" w:eastAsia="仿宋" w:cs="仿宋"/>
          <w:i w:val="0"/>
          <w:caps w:val="0"/>
          <w:color w:val="auto"/>
          <w:spacing w:val="0"/>
          <w:sz w:val="32"/>
          <w:szCs w:val="32"/>
          <w:shd w:val="clear" w:fill="FFFFFF"/>
          <w:lang w:val="en-US" w:eastAsia="zh-CN"/>
        </w:rPr>
        <w:t>数</w:t>
      </w:r>
      <w:r>
        <w:rPr>
          <w:rFonts w:hint="eastAsia" w:ascii="仿宋" w:hAnsi="仿宋" w:eastAsia="仿宋" w:cs="仿宋"/>
          <w:i w:val="0"/>
          <w:caps w:val="0"/>
          <w:color w:val="auto"/>
          <w:spacing w:val="0"/>
          <w:sz w:val="32"/>
          <w:szCs w:val="32"/>
          <w:shd w:val="clear" w:fill="FFFFFF"/>
        </w:rPr>
        <w:t>，则另行发布延长公告，申请文件递交时间以延长公告要求为准。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3" w:firstLineChars="200"/>
        <w:jc w:val="both"/>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楷体" w:hAnsi="楷体" w:eastAsia="楷体" w:cs="楷体"/>
          <w:b/>
          <w:bCs/>
          <w:i w:val="0"/>
          <w:caps w:val="0"/>
          <w:color w:val="auto"/>
          <w:spacing w:val="0"/>
          <w:kern w:val="0"/>
          <w:sz w:val="32"/>
          <w:szCs w:val="32"/>
          <w:shd w:val="clear" w:fill="FFFFFF"/>
          <w:lang w:val="en-US" w:eastAsia="zh-CN" w:bidi="ar"/>
        </w:rPr>
        <w:t>（三）申请文件递交地点：</w:t>
      </w:r>
      <w:r>
        <w:rPr>
          <w:rFonts w:hint="eastAsia" w:ascii="仿宋" w:hAnsi="仿宋" w:eastAsia="仿宋" w:cs="仿宋"/>
          <w:i w:val="0"/>
          <w:caps w:val="0"/>
          <w:color w:val="auto"/>
          <w:spacing w:val="0"/>
          <w:kern w:val="0"/>
          <w:sz w:val="32"/>
          <w:szCs w:val="32"/>
          <w:shd w:val="clear" w:fill="FFFFFF"/>
          <w:lang w:val="en-US" w:eastAsia="zh-CN" w:bidi="ar"/>
        </w:rPr>
        <w:t>广东省河源监狱行政大门外来公务办公理区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outlineLvl w:val="9"/>
        <w:rPr>
          <w:rFonts w:hint="eastAsia" w:ascii="楷体" w:hAnsi="楷体" w:eastAsia="楷体" w:cs="楷体"/>
          <w:b/>
          <w:bCs/>
          <w:i w:val="0"/>
          <w:caps w:val="0"/>
          <w:color w:val="auto"/>
          <w:spacing w:val="0"/>
          <w:sz w:val="32"/>
          <w:szCs w:val="32"/>
          <w:shd w:val="clear" w:fill="FFFFFF"/>
          <w:lang w:val="en-US" w:eastAsia="zh-CN"/>
        </w:rPr>
      </w:pPr>
      <w:r>
        <w:rPr>
          <w:rFonts w:hint="eastAsia" w:ascii="楷体" w:hAnsi="楷体" w:eastAsia="楷体" w:cs="楷体"/>
          <w:b/>
          <w:bCs/>
          <w:i w:val="0"/>
          <w:caps w:val="0"/>
          <w:color w:val="auto"/>
          <w:spacing w:val="0"/>
          <w:sz w:val="32"/>
          <w:szCs w:val="32"/>
          <w:shd w:val="clear" w:fill="FFFFFF"/>
          <w:lang w:val="en-US" w:eastAsia="zh-CN"/>
        </w:rPr>
        <w:t>（四）遴选方法: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b/>
          <w:bCs/>
          <w:i w:val="0"/>
          <w:caps w:val="0"/>
          <w:color w:val="auto"/>
          <w:spacing w:val="0"/>
          <w:sz w:val="32"/>
          <w:szCs w:val="32"/>
          <w:shd w:val="clear" w:fill="FFFFFF"/>
          <w:lang w:val="en-US" w:eastAsia="zh-CN"/>
        </w:rPr>
        <w:t>1.</w:t>
      </w:r>
      <w:r>
        <w:rPr>
          <w:rFonts w:hint="eastAsia" w:ascii="仿宋" w:hAnsi="仿宋" w:eastAsia="仿宋" w:cs="仿宋"/>
          <w:b/>
          <w:bCs/>
          <w:i w:val="0"/>
          <w:caps w:val="0"/>
          <w:color w:val="auto"/>
          <w:spacing w:val="0"/>
          <w:sz w:val="32"/>
          <w:szCs w:val="32"/>
          <w:shd w:val="clear" w:fill="FFFFFF"/>
        </w:rPr>
        <w:t>检查文件。</w:t>
      </w:r>
      <w:r>
        <w:rPr>
          <w:rFonts w:hint="eastAsia" w:ascii="仿宋" w:hAnsi="仿宋" w:eastAsia="仿宋" w:cs="仿宋"/>
          <w:i w:val="0"/>
          <w:caps w:val="0"/>
          <w:color w:val="auto"/>
          <w:spacing w:val="0"/>
          <w:sz w:val="32"/>
          <w:szCs w:val="32"/>
          <w:shd w:val="clear" w:fill="FFFFFF"/>
        </w:rPr>
        <w:t>评审工作开始前，监督员对所有文件密封性进行检查，确认无误后，则现场启封文件并开展评审工作。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outlineLvl w:val="9"/>
        <w:rPr>
          <w:rFonts w:hint="eastAsia" w:ascii="仿宋" w:hAnsi="仿宋" w:eastAsia="仿宋" w:cs="仿宋"/>
          <w:i w:val="0"/>
          <w:caps w:val="0"/>
          <w:color w:val="auto"/>
          <w:spacing w:val="0"/>
          <w:sz w:val="27"/>
          <w:szCs w:val="27"/>
        </w:rPr>
      </w:pPr>
      <w:r>
        <w:rPr>
          <w:rFonts w:hint="eastAsia" w:ascii="仿宋" w:hAnsi="仿宋" w:eastAsia="仿宋" w:cs="仿宋"/>
          <w:b/>
          <w:bCs/>
          <w:i w:val="0"/>
          <w:caps w:val="0"/>
          <w:color w:val="auto"/>
          <w:spacing w:val="0"/>
          <w:sz w:val="32"/>
          <w:szCs w:val="32"/>
          <w:shd w:val="clear" w:fill="FFFFFF"/>
          <w:lang w:val="en-US" w:eastAsia="zh-CN"/>
        </w:rPr>
        <w:t>2.资格审查。</w:t>
      </w:r>
      <w:r>
        <w:rPr>
          <w:rFonts w:hint="eastAsia" w:ascii="仿宋" w:hAnsi="仿宋" w:eastAsia="仿宋" w:cs="仿宋"/>
          <w:i w:val="0"/>
          <w:caps w:val="0"/>
          <w:color w:val="auto"/>
          <w:spacing w:val="0"/>
          <w:sz w:val="32"/>
          <w:szCs w:val="32"/>
          <w:shd w:val="clear" w:fill="FFFFFF"/>
          <w:lang w:val="en-US" w:eastAsia="zh-CN"/>
        </w:rPr>
        <w:t>评审小组</w:t>
      </w:r>
      <w:r>
        <w:rPr>
          <w:rFonts w:hint="eastAsia" w:ascii="仿宋" w:hAnsi="仿宋" w:eastAsia="仿宋" w:cs="仿宋"/>
          <w:i w:val="0"/>
          <w:caps w:val="0"/>
          <w:color w:val="auto"/>
          <w:spacing w:val="0"/>
          <w:sz w:val="32"/>
          <w:szCs w:val="32"/>
          <w:shd w:val="clear" w:fill="FFFFFF"/>
        </w:rPr>
        <w:t>根据申请文件对申请人的资质进行审查，符合资质要求的进入到评审环节。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firstLine="643" w:firstLineChars="200"/>
        <w:jc w:val="both"/>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b/>
          <w:bCs/>
          <w:i w:val="0"/>
          <w:caps w:val="0"/>
          <w:color w:val="auto"/>
          <w:spacing w:val="0"/>
          <w:sz w:val="32"/>
          <w:szCs w:val="32"/>
          <w:shd w:val="clear" w:fill="FFFFFF"/>
          <w:lang w:val="en-US" w:eastAsia="zh-CN"/>
        </w:rPr>
        <w:t>3.评审考核。</w:t>
      </w:r>
      <w:r>
        <w:rPr>
          <w:rFonts w:hint="eastAsia" w:ascii="仿宋" w:hAnsi="仿宋" w:eastAsia="仿宋" w:cs="仿宋"/>
          <w:i w:val="0"/>
          <w:caps w:val="0"/>
          <w:color w:val="auto"/>
          <w:spacing w:val="0"/>
          <w:sz w:val="32"/>
          <w:szCs w:val="32"/>
          <w:shd w:val="clear" w:fill="FFFFFF"/>
          <w:lang w:val="en-US" w:eastAsia="zh-CN"/>
        </w:rPr>
        <w:t>评审小组对</w:t>
      </w:r>
      <w:r>
        <w:rPr>
          <w:rFonts w:hint="eastAsia" w:ascii="仿宋" w:hAnsi="仿宋" w:eastAsia="仿宋" w:cs="仿宋"/>
          <w:i w:val="0"/>
          <w:caps w:val="0"/>
          <w:color w:val="auto"/>
          <w:spacing w:val="0"/>
          <w:sz w:val="32"/>
          <w:szCs w:val="32"/>
          <w:shd w:val="clear" w:fill="FFFFFF"/>
        </w:rPr>
        <w:t>申请文件进行评分，本项分值为</w:t>
      </w:r>
      <w:r>
        <w:rPr>
          <w:rFonts w:hint="eastAsia" w:ascii="仿宋" w:hAnsi="仿宋" w:eastAsia="仿宋" w:cs="仿宋"/>
          <w:i w:val="0"/>
          <w:caps w:val="0"/>
          <w:color w:val="auto"/>
          <w:spacing w:val="0"/>
          <w:sz w:val="32"/>
          <w:szCs w:val="32"/>
          <w:shd w:val="clear" w:fill="FFFFFF"/>
          <w:lang w:val="en-US" w:eastAsia="zh-CN"/>
        </w:rPr>
        <w:t>75</w:t>
      </w:r>
      <w:r>
        <w:rPr>
          <w:rFonts w:hint="eastAsia" w:ascii="仿宋" w:hAnsi="仿宋" w:eastAsia="仿宋" w:cs="仿宋"/>
          <w:i w:val="0"/>
          <w:caps w:val="0"/>
          <w:color w:val="auto"/>
          <w:spacing w:val="0"/>
          <w:sz w:val="32"/>
          <w:szCs w:val="32"/>
          <w:shd w:val="clear" w:fill="FFFFFF"/>
        </w:rPr>
        <w:t>分。评分标准见下表：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firstLine="640" w:firstLineChars="200"/>
        <w:jc w:val="both"/>
        <w:outlineLvl w:val="9"/>
        <w:rPr>
          <w:rFonts w:hint="eastAsia" w:ascii="仿宋" w:hAnsi="仿宋" w:eastAsia="仿宋" w:cs="仿宋"/>
          <w:i w:val="0"/>
          <w:caps w:val="0"/>
          <w:color w:val="auto"/>
          <w:spacing w:val="0"/>
          <w:sz w:val="32"/>
          <w:szCs w:val="32"/>
          <w:shd w:val="clear" w:fill="FFFFFF"/>
        </w:rPr>
      </w:pPr>
    </w:p>
    <w:tbl>
      <w:tblPr>
        <w:tblStyle w:val="7"/>
        <w:tblW w:w="9080" w:type="dxa"/>
        <w:jc w:val="center"/>
        <w:tblInd w:w="0" w:type="dxa"/>
        <w:shd w:val="clear" w:color="auto" w:fill="FFFFFF"/>
        <w:tblLayout w:type="fixed"/>
        <w:tblCellMar>
          <w:top w:w="0" w:type="dxa"/>
          <w:left w:w="0" w:type="dxa"/>
          <w:bottom w:w="0" w:type="dxa"/>
          <w:right w:w="0" w:type="dxa"/>
        </w:tblCellMar>
      </w:tblPr>
      <w:tblGrid>
        <w:gridCol w:w="845"/>
        <w:gridCol w:w="1141"/>
        <w:gridCol w:w="6164"/>
        <w:gridCol w:w="930"/>
      </w:tblGrid>
      <w:tr>
        <w:tblPrEx>
          <w:tblLayout w:type="fixed"/>
          <w:tblCellMar>
            <w:top w:w="0" w:type="dxa"/>
            <w:left w:w="0" w:type="dxa"/>
            <w:bottom w:w="0" w:type="dxa"/>
            <w:right w:w="0" w:type="dxa"/>
          </w:tblCellMar>
        </w:tblPrEx>
        <w:trPr>
          <w:trHeight w:val="570"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Theme="majorEastAsia" w:hAnsiTheme="majorEastAsia" w:eastAsiaTheme="majorEastAsia" w:cstheme="majorEastAsia"/>
                <w:b/>
                <w:bCs/>
                <w:color w:val="auto"/>
                <w:sz w:val="27"/>
                <w:szCs w:val="27"/>
              </w:rPr>
            </w:pPr>
            <w:r>
              <w:rPr>
                <w:rFonts w:hint="eastAsia" w:asciiTheme="majorEastAsia" w:hAnsiTheme="majorEastAsia" w:eastAsiaTheme="majorEastAsia" w:cstheme="majorEastAsia"/>
                <w:b/>
                <w:bCs/>
                <w:i w:val="0"/>
                <w:caps w:val="0"/>
                <w:color w:val="auto"/>
                <w:spacing w:val="0"/>
                <w:kern w:val="0"/>
                <w:sz w:val="24"/>
                <w:szCs w:val="24"/>
                <w:lang w:val="en-US" w:eastAsia="zh-CN" w:bidi="ar"/>
              </w:rPr>
              <w:t>序号</w:t>
            </w:r>
          </w:p>
        </w:tc>
        <w:tc>
          <w:tcPr>
            <w:tcW w:w="7305"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Theme="majorEastAsia" w:hAnsiTheme="majorEastAsia" w:eastAsiaTheme="majorEastAsia" w:cstheme="majorEastAsia"/>
                <w:b/>
                <w:bCs/>
                <w:color w:val="auto"/>
                <w:sz w:val="27"/>
                <w:szCs w:val="27"/>
              </w:rPr>
            </w:pPr>
            <w:r>
              <w:rPr>
                <w:rFonts w:hint="eastAsia" w:asciiTheme="majorEastAsia" w:hAnsiTheme="majorEastAsia" w:eastAsiaTheme="majorEastAsia" w:cstheme="majorEastAsia"/>
                <w:b/>
                <w:bCs/>
                <w:i w:val="0"/>
                <w:caps w:val="0"/>
                <w:color w:val="auto"/>
                <w:spacing w:val="0"/>
                <w:kern w:val="0"/>
                <w:sz w:val="24"/>
                <w:szCs w:val="24"/>
                <w:lang w:val="en-US" w:eastAsia="zh-CN" w:bidi="ar"/>
              </w:rPr>
              <w:t>评分项目</w:t>
            </w:r>
          </w:p>
        </w:tc>
        <w:tc>
          <w:tcPr>
            <w:tcW w:w="93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Theme="majorEastAsia" w:hAnsiTheme="majorEastAsia" w:eastAsiaTheme="majorEastAsia" w:cstheme="majorEastAsia"/>
                <w:b/>
                <w:bCs/>
                <w:color w:val="auto"/>
                <w:sz w:val="27"/>
                <w:szCs w:val="27"/>
              </w:rPr>
            </w:pPr>
            <w:r>
              <w:rPr>
                <w:rFonts w:hint="eastAsia" w:asciiTheme="majorEastAsia" w:hAnsiTheme="majorEastAsia" w:eastAsiaTheme="majorEastAsia" w:cstheme="majorEastAsia"/>
                <w:b/>
                <w:bCs/>
                <w:i w:val="0"/>
                <w:caps w:val="0"/>
                <w:color w:val="auto"/>
                <w:spacing w:val="0"/>
                <w:kern w:val="0"/>
                <w:sz w:val="24"/>
                <w:szCs w:val="24"/>
                <w:lang w:val="en-US" w:eastAsia="zh-CN" w:bidi="ar"/>
              </w:rPr>
              <w:t>分值</w:t>
            </w:r>
          </w:p>
        </w:tc>
      </w:tr>
      <w:tr>
        <w:tblPrEx>
          <w:tblLayout w:type="fixed"/>
          <w:tblCellMar>
            <w:top w:w="0" w:type="dxa"/>
            <w:left w:w="0" w:type="dxa"/>
            <w:bottom w:w="0" w:type="dxa"/>
            <w:right w:w="0" w:type="dxa"/>
          </w:tblCellMar>
        </w:tblPrEx>
        <w:trPr>
          <w:trHeight w:val="559" w:hRule="atLeast"/>
          <w:jc w:val="center"/>
        </w:trPr>
        <w:tc>
          <w:tcPr>
            <w:tcW w:w="9080" w:type="dxa"/>
            <w:gridSpan w:val="4"/>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价格部分（10分）</w:t>
            </w:r>
          </w:p>
        </w:tc>
      </w:tr>
      <w:tr>
        <w:tblPrEx>
          <w:tblLayout w:type="fixed"/>
          <w:tblCellMar>
            <w:top w:w="0" w:type="dxa"/>
            <w:left w:w="0" w:type="dxa"/>
            <w:bottom w:w="0" w:type="dxa"/>
            <w:right w:w="0" w:type="dxa"/>
          </w:tblCellMar>
        </w:tblPrEx>
        <w:trPr>
          <w:trHeight w:val="3491" w:hRule="atLeast"/>
          <w:jc w:val="center"/>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服务收费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（10分）</w:t>
            </w:r>
          </w:p>
        </w:tc>
        <w:tc>
          <w:tcPr>
            <w:tcW w:w="6164" w:type="dxa"/>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代理机构受理的招标采购项目，代理服务费参照国家发展计划委印发的（计价格〔2002〕1980号）、国家发改委印发的（发改办价格〔2003〕857号）及（发改办价格〔2011〕534号）文件规定的收费标准计价后，承诺每下浮1%，得1分，本项最高得10分。单项采购项目，若经承诺下浮率计算服务费不足3000元的，按3000元收取服务费用。</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 xml:space="preserve">   </w:t>
            </w:r>
            <w:r>
              <w:rPr>
                <w:rStyle w:val="6"/>
                <w:rFonts w:hint="eastAsia" w:ascii="仿宋" w:hAnsi="仿宋" w:eastAsia="仿宋" w:cs="仿宋"/>
                <w:b/>
                <w:i w:val="0"/>
                <w:caps w:val="0"/>
                <w:color w:val="auto"/>
                <w:spacing w:val="0"/>
                <w:kern w:val="0"/>
                <w:sz w:val="24"/>
                <w:szCs w:val="24"/>
                <w:lang w:val="en-US" w:eastAsia="zh-CN" w:bidi="ar"/>
              </w:rPr>
              <w:t>注：提供承诺函，加盖公章。</w:t>
            </w:r>
          </w:p>
        </w:tc>
        <w:tc>
          <w:tcPr>
            <w:tcW w:w="93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10分</w:t>
            </w:r>
          </w:p>
        </w:tc>
      </w:tr>
      <w:tr>
        <w:tblPrEx>
          <w:tblLayout w:type="fixed"/>
          <w:tblCellMar>
            <w:top w:w="0" w:type="dxa"/>
            <w:left w:w="0" w:type="dxa"/>
            <w:bottom w:w="0" w:type="dxa"/>
            <w:right w:w="0" w:type="dxa"/>
          </w:tblCellMar>
        </w:tblPrEx>
        <w:trPr>
          <w:trHeight w:val="562" w:hRule="atLeast"/>
          <w:jc w:val="center"/>
        </w:trPr>
        <w:tc>
          <w:tcPr>
            <w:tcW w:w="9080" w:type="dxa"/>
            <w:gridSpan w:val="4"/>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商务部分（50分）</w:t>
            </w:r>
          </w:p>
        </w:tc>
      </w:tr>
      <w:tr>
        <w:tblPrEx>
          <w:tblLayout w:type="fixed"/>
          <w:tblCellMar>
            <w:top w:w="0" w:type="dxa"/>
            <w:left w:w="0" w:type="dxa"/>
            <w:bottom w:w="0" w:type="dxa"/>
            <w:right w:w="0" w:type="dxa"/>
          </w:tblCellMar>
        </w:tblPrEx>
        <w:trPr>
          <w:trHeight w:val="4339" w:hRule="atLeast"/>
          <w:jc w:val="center"/>
        </w:trPr>
        <w:tc>
          <w:tcPr>
            <w:tcW w:w="84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2</w:t>
            </w:r>
          </w:p>
        </w:tc>
        <w:tc>
          <w:tcPr>
            <w:tcW w:w="1141"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项目组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人员</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（24分）</w:t>
            </w:r>
          </w:p>
        </w:tc>
        <w:tc>
          <w:tcPr>
            <w:tcW w:w="616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根据申请人专职服务团队人员进行评审：基本配置5人，每增加1人得1分，本项最高得6分。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2"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b/>
                <w:bCs/>
                <w:i w:val="0"/>
                <w:caps w:val="0"/>
                <w:color w:val="auto"/>
                <w:spacing w:val="0"/>
                <w:kern w:val="0"/>
                <w:sz w:val="24"/>
                <w:szCs w:val="24"/>
                <w:lang w:val="en-US" w:eastAsia="zh-CN" w:bidi="ar"/>
              </w:rPr>
              <w:t>注：提供人员截至2023年7月31日内6个月内任意一个月社保证明材料，原件备查。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（2）截至2023年7月31日，申请人专职服务团队人员具有政府采购培训证书的：每提供1人得1分，本项最高得5分。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rightChars="0" w:firstLine="482" w:firstLineChars="200"/>
              <w:jc w:val="both"/>
              <w:textAlignment w:val="center"/>
              <w:outlineLvl w:val="9"/>
              <w:rPr>
                <w:rFonts w:hint="eastAsia" w:ascii="仿宋" w:hAnsi="仿宋" w:eastAsia="仿宋" w:cs="仿宋"/>
                <w:b/>
                <w:bCs w:val="0"/>
                <w:i w:val="0"/>
                <w:caps w:val="0"/>
                <w:color w:val="auto"/>
                <w:spacing w:val="0"/>
                <w:kern w:val="0"/>
                <w:sz w:val="24"/>
                <w:szCs w:val="24"/>
                <w:lang w:val="en-US" w:eastAsia="zh-CN" w:bidi="ar"/>
              </w:rPr>
            </w:pPr>
            <w:r>
              <w:rPr>
                <w:rFonts w:hint="eastAsia" w:ascii="仿宋" w:hAnsi="仿宋" w:eastAsia="仿宋" w:cs="仿宋"/>
                <w:b/>
                <w:bCs/>
                <w:i w:val="0"/>
                <w:caps w:val="0"/>
                <w:color w:val="auto"/>
                <w:spacing w:val="0"/>
                <w:kern w:val="0"/>
                <w:sz w:val="24"/>
                <w:szCs w:val="24"/>
                <w:lang w:val="en-US" w:eastAsia="zh-CN" w:bidi="ar"/>
              </w:rPr>
              <w:t>注：</w:t>
            </w:r>
            <w:r>
              <w:rPr>
                <w:rFonts w:hint="eastAsia" w:ascii="仿宋" w:hAnsi="仿宋" w:eastAsia="仿宋" w:cs="仿宋"/>
                <w:b/>
                <w:bCs w:val="0"/>
                <w:i w:val="0"/>
                <w:caps w:val="0"/>
                <w:color w:val="auto"/>
                <w:spacing w:val="0"/>
                <w:kern w:val="0"/>
                <w:sz w:val="24"/>
                <w:szCs w:val="24"/>
                <w:lang w:val="en-US" w:eastAsia="zh-CN" w:bidi="ar"/>
              </w:rPr>
              <w:t>提供人员截至2023年7月31日内6个月内任意一个月社保证明材料及政府采购培训证书等相关材料加盖公章。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rightChars="0" w:firstLine="480" w:firstLineChars="200"/>
              <w:jc w:val="both"/>
              <w:textAlignment w:val="center"/>
              <w:outlineLvl w:val="9"/>
              <w:rPr>
                <w:rFonts w:hint="eastAsia" w:ascii="仿宋" w:hAnsi="仿宋" w:eastAsia="仿宋" w:cs="仿宋"/>
                <w:b/>
                <w:bCs w:val="0"/>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本项最高得11分。</w:t>
            </w:r>
          </w:p>
        </w:tc>
        <w:tc>
          <w:tcPr>
            <w:tcW w:w="93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11分</w:t>
            </w:r>
          </w:p>
        </w:tc>
      </w:tr>
      <w:tr>
        <w:tblPrEx>
          <w:tblLayout w:type="fixed"/>
          <w:tblCellMar>
            <w:top w:w="0" w:type="dxa"/>
            <w:left w:w="0" w:type="dxa"/>
            <w:bottom w:w="0" w:type="dxa"/>
            <w:right w:w="0" w:type="dxa"/>
          </w:tblCellMar>
        </w:tblPrEx>
        <w:trPr>
          <w:trHeight w:val="1730" w:hRule="atLeast"/>
          <w:jc w:val="center"/>
        </w:trPr>
        <w:tc>
          <w:tcPr>
            <w:tcW w:w="8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114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616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center"/>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拟派项目负责人（1人，专职对接我单位招标采购业务）相关要求：</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 xml:space="preserve">   ①</w:t>
            </w:r>
            <w:r>
              <w:rPr>
                <w:rFonts w:hint="default" w:ascii="仿宋_GB2312" w:eastAsia="仿宋_GB2312" w:cs="仿宋_GB2312"/>
                <w:b w:val="0"/>
                <w:sz w:val="24"/>
                <w:szCs w:val="24"/>
              </w:rPr>
              <w:t>具备本科学历或以上的，得2分；具备大学专科学历，得1分；其他不得分。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2"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b/>
                <w:bCs/>
                <w:i w:val="0"/>
                <w:caps w:val="0"/>
                <w:color w:val="auto"/>
                <w:spacing w:val="0"/>
                <w:kern w:val="0"/>
                <w:sz w:val="24"/>
                <w:szCs w:val="24"/>
                <w:lang w:val="en-US" w:eastAsia="zh-CN" w:bidi="ar"/>
              </w:rPr>
              <w:t>注：</w:t>
            </w:r>
            <w:r>
              <w:rPr>
                <w:rStyle w:val="6"/>
                <w:rFonts w:hint="eastAsia" w:ascii="仿宋" w:hAnsi="仿宋" w:eastAsia="仿宋" w:cs="仿宋"/>
                <w:b/>
                <w:i w:val="0"/>
                <w:caps w:val="0"/>
                <w:color w:val="auto"/>
                <w:spacing w:val="0"/>
                <w:kern w:val="0"/>
                <w:sz w:val="24"/>
                <w:szCs w:val="24"/>
                <w:lang w:val="en-US" w:eastAsia="zh-CN" w:bidi="ar"/>
              </w:rPr>
              <w:t>提供学历证书复印件，加盖公章。</w:t>
            </w:r>
            <w:r>
              <w:rPr>
                <w:rFonts w:hint="eastAsia" w:ascii="仿宋" w:hAnsi="仿宋" w:eastAsia="仿宋" w:cs="仿宋"/>
                <w:b/>
                <w:bCs/>
                <w:i w:val="0"/>
                <w:caps w:val="0"/>
                <w:color w:val="auto"/>
                <w:spacing w:val="0"/>
                <w:kern w:val="0"/>
                <w:sz w:val="24"/>
                <w:szCs w:val="24"/>
                <w:lang w:val="en-US" w:eastAsia="zh-CN" w:bidi="ar"/>
              </w:rPr>
              <w:t>提供人员截至2023年7月31日内6个月内任意一个月社保证明材料，原件备查。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center"/>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②截至2023年7月31日，取得中级或以上职称5年或以上的，得3分；3（含）—5（不含）年的，得2分；3年以下的，得1分，其他不得分。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2" w:firstLineChars="200"/>
              <w:jc w:val="both"/>
              <w:textAlignment w:val="center"/>
              <w:rPr>
                <w:rStyle w:val="6"/>
                <w:rFonts w:hint="eastAsia" w:ascii="仿宋" w:hAnsi="仿宋" w:eastAsia="仿宋" w:cs="仿宋"/>
                <w:b/>
                <w:i w:val="0"/>
                <w:caps w:val="0"/>
                <w:color w:val="auto"/>
                <w:spacing w:val="0"/>
                <w:kern w:val="0"/>
                <w:sz w:val="24"/>
                <w:szCs w:val="24"/>
                <w:lang w:val="en-US" w:eastAsia="zh-CN" w:bidi="ar"/>
              </w:rPr>
            </w:pPr>
            <w:r>
              <w:rPr>
                <w:rFonts w:hint="eastAsia" w:ascii="仿宋" w:hAnsi="仿宋" w:eastAsia="仿宋" w:cs="仿宋"/>
                <w:b/>
                <w:bCs/>
                <w:i w:val="0"/>
                <w:caps w:val="0"/>
                <w:color w:val="auto"/>
                <w:spacing w:val="0"/>
                <w:kern w:val="0"/>
                <w:sz w:val="24"/>
                <w:szCs w:val="24"/>
                <w:lang w:val="en-US" w:eastAsia="zh-CN" w:bidi="ar"/>
              </w:rPr>
              <w:t>注：（2021年版国家职业资格目录为准）</w:t>
            </w:r>
            <w:r>
              <w:rPr>
                <w:rStyle w:val="6"/>
                <w:rFonts w:hint="eastAsia" w:ascii="仿宋" w:hAnsi="仿宋" w:eastAsia="仿宋" w:cs="仿宋"/>
                <w:b/>
                <w:i w:val="0"/>
                <w:caps w:val="0"/>
                <w:color w:val="auto"/>
                <w:spacing w:val="0"/>
                <w:kern w:val="0"/>
                <w:sz w:val="24"/>
                <w:szCs w:val="24"/>
                <w:lang w:val="en-US" w:eastAsia="zh-CN" w:bidi="ar"/>
              </w:rPr>
              <w:t>提供职称证书复印件，加盖公章。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center"/>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③近1年（2022年7月31日至2023年7月31日）负责的政府采购及工程招投标项目业绩：单个不同政府采购项目（预算金额100万元或以上）的，每个得0.5分（同单位多个项目只得1分）最高得5分；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center"/>
              <w:rPr>
                <w:rFonts w:hint="default" w:ascii="仿宋_GB2312" w:eastAsia="仿宋_GB2312" w:cs="仿宋_GB2312"/>
                <w:b w:val="0"/>
                <w:sz w:val="24"/>
                <w:szCs w:val="24"/>
              </w:rPr>
            </w:pPr>
            <w:r>
              <w:rPr>
                <w:rFonts w:hint="default" w:ascii="仿宋_GB2312" w:eastAsia="仿宋_GB2312" w:cs="仿宋_GB2312"/>
                <w:b w:val="0"/>
                <w:sz w:val="24"/>
                <w:szCs w:val="24"/>
              </w:rPr>
              <w:t>单个不同单位工程招投标项目（预算金额400万元</w:t>
            </w:r>
            <w:r>
              <w:rPr>
                <w:rFonts w:hint="eastAsia" w:ascii="仿宋_GB2312" w:eastAsia="仿宋_GB2312" w:cs="仿宋_GB2312"/>
                <w:b w:val="0"/>
                <w:sz w:val="24"/>
                <w:szCs w:val="24"/>
                <w:lang w:val="en-US" w:eastAsia="zh-CN"/>
              </w:rPr>
              <w:t>或</w:t>
            </w:r>
            <w:r>
              <w:rPr>
                <w:rFonts w:hint="default" w:ascii="仿宋_GB2312" w:eastAsia="仿宋_GB2312" w:cs="仿宋_GB2312"/>
                <w:b w:val="0"/>
                <w:sz w:val="24"/>
                <w:szCs w:val="24"/>
              </w:rPr>
              <w:t>以上）的，每个得0.5分（同单位多个项目只得1分），最高得2分；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2" w:firstLineChars="200"/>
              <w:jc w:val="both"/>
              <w:textAlignment w:val="center"/>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b/>
                <w:bCs/>
                <w:i w:val="0"/>
                <w:caps w:val="0"/>
                <w:color w:val="auto"/>
                <w:spacing w:val="0"/>
                <w:kern w:val="0"/>
                <w:sz w:val="24"/>
                <w:szCs w:val="24"/>
                <w:lang w:val="en-US" w:eastAsia="zh-CN" w:bidi="ar"/>
              </w:rPr>
              <w:t>注：以招标公告日期为准，</w:t>
            </w:r>
            <w:r>
              <w:rPr>
                <w:rStyle w:val="6"/>
                <w:rFonts w:hint="eastAsia" w:ascii="仿宋" w:hAnsi="仿宋" w:eastAsia="仿宋" w:cs="仿宋"/>
                <w:b/>
                <w:bCs/>
                <w:i w:val="0"/>
                <w:caps w:val="0"/>
                <w:color w:val="auto"/>
                <w:spacing w:val="0"/>
                <w:kern w:val="0"/>
                <w:sz w:val="24"/>
                <w:szCs w:val="24"/>
                <w:lang w:val="en-US" w:eastAsia="zh-CN" w:bidi="ar"/>
              </w:rPr>
              <w:t>提供</w:t>
            </w:r>
            <w:r>
              <w:rPr>
                <w:rStyle w:val="6"/>
                <w:rFonts w:hint="eastAsia" w:ascii="仿宋" w:hAnsi="仿宋" w:eastAsia="仿宋" w:cs="仿宋"/>
                <w:b/>
                <w:i w:val="0"/>
                <w:caps w:val="0"/>
                <w:color w:val="auto"/>
                <w:spacing w:val="0"/>
                <w:kern w:val="0"/>
                <w:sz w:val="24"/>
                <w:szCs w:val="24"/>
                <w:lang w:val="en-US" w:eastAsia="zh-CN" w:bidi="ar"/>
              </w:rPr>
              <w:t>项目招标公告网页截图，承诺函及其他相关证明文件，并加盖公章。</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 xml:space="preserve">   </w:t>
            </w:r>
            <w:r>
              <w:rPr>
                <w:rFonts w:hint="eastAsia" w:ascii="仿宋" w:hAnsi="仿宋" w:eastAsia="仿宋" w:cs="仿宋"/>
                <w:i w:val="0"/>
                <w:caps w:val="0"/>
                <w:color w:val="auto"/>
                <w:spacing w:val="0"/>
                <w:kern w:val="0"/>
                <w:sz w:val="24"/>
                <w:szCs w:val="24"/>
                <w:lang w:val="en-US" w:eastAsia="zh-CN" w:bidi="ar"/>
              </w:rPr>
              <w:fldChar w:fldCharType="begin"/>
            </w:r>
            <w:r>
              <w:rPr>
                <w:rFonts w:hint="eastAsia" w:ascii="仿宋" w:hAnsi="仿宋" w:eastAsia="仿宋" w:cs="仿宋"/>
                <w:i w:val="0"/>
                <w:caps w:val="0"/>
                <w:color w:val="auto"/>
                <w:spacing w:val="0"/>
                <w:kern w:val="0"/>
                <w:sz w:val="24"/>
                <w:szCs w:val="24"/>
                <w:lang w:val="en-US" w:eastAsia="zh-CN" w:bidi="ar"/>
              </w:rPr>
              <w:instrText xml:space="preserve"> EQ \o\ac(○,</w:instrText>
            </w:r>
            <w:r>
              <w:rPr>
                <w:rFonts w:hint="eastAsia" w:ascii="仿宋" w:hAnsi="仿宋" w:eastAsia="仿宋" w:cs="仿宋"/>
                <w:i w:val="0"/>
                <w:caps w:val="0"/>
                <w:color w:val="auto"/>
                <w:spacing w:val="0"/>
                <w:kern w:val="0"/>
                <w:position w:val="3"/>
                <w:sz w:val="16"/>
                <w:szCs w:val="24"/>
                <w:lang w:val="en-US" w:eastAsia="zh-CN" w:bidi="ar"/>
              </w:rPr>
              <w:instrText xml:space="preserve">4</w:instrText>
            </w:r>
            <w:r>
              <w:rPr>
                <w:rFonts w:hint="eastAsia" w:ascii="仿宋" w:hAnsi="仿宋" w:eastAsia="仿宋" w:cs="仿宋"/>
                <w:i w:val="0"/>
                <w:caps w:val="0"/>
                <w:color w:val="auto"/>
                <w:spacing w:val="0"/>
                <w:kern w:val="0"/>
                <w:sz w:val="24"/>
                <w:szCs w:val="24"/>
                <w:lang w:val="en-US" w:eastAsia="zh-CN" w:bidi="ar"/>
              </w:rPr>
              <w:instrText xml:space="preserve">)</w:instrText>
            </w:r>
            <w:r>
              <w:rPr>
                <w:rFonts w:hint="eastAsia" w:ascii="仿宋" w:hAnsi="仿宋" w:eastAsia="仿宋" w:cs="仿宋"/>
                <w:i w:val="0"/>
                <w:caps w:val="0"/>
                <w:color w:val="auto"/>
                <w:spacing w:val="0"/>
                <w:kern w:val="0"/>
                <w:sz w:val="24"/>
                <w:szCs w:val="24"/>
                <w:lang w:val="en-US" w:eastAsia="zh-CN" w:bidi="ar"/>
              </w:rPr>
              <w:fldChar w:fldCharType="end"/>
            </w:r>
            <w:r>
              <w:rPr>
                <w:rFonts w:hint="eastAsia" w:ascii="仿宋" w:hAnsi="仿宋" w:eastAsia="仿宋" w:cs="仿宋"/>
                <w:i w:val="0"/>
                <w:caps w:val="0"/>
                <w:color w:val="auto"/>
                <w:spacing w:val="0"/>
                <w:kern w:val="0"/>
                <w:sz w:val="24"/>
                <w:szCs w:val="24"/>
                <w:lang w:val="en-US" w:eastAsia="zh-CN" w:bidi="ar"/>
              </w:rPr>
              <w:t>能积极响应采购人的要求，包括文件会审、政策解读、档案整理等，得1分；没有不得分。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79" w:leftChars="228" w:right="0" w:firstLine="0" w:firstLineChars="0"/>
              <w:jc w:val="both"/>
              <w:textAlignment w:val="center"/>
              <w:rPr>
                <w:rFonts w:hint="eastAsia" w:ascii="仿宋" w:hAnsi="仿宋" w:eastAsia="仿宋" w:cs="仿宋"/>
                <w:color w:val="auto"/>
                <w:sz w:val="27"/>
                <w:szCs w:val="27"/>
              </w:rPr>
            </w:pPr>
            <w:r>
              <w:rPr>
                <w:rFonts w:hint="eastAsia" w:ascii="仿宋" w:hAnsi="仿宋" w:eastAsia="仿宋" w:cs="仿宋"/>
                <w:b/>
                <w:bCs/>
                <w:i w:val="0"/>
                <w:caps w:val="0"/>
                <w:color w:val="auto"/>
                <w:spacing w:val="0"/>
                <w:kern w:val="0"/>
                <w:sz w:val="24"/>
                <w:szCs w:val="24"/>
                <w:lang w:val="en-US" w:eastAsia="zh-CN" w:bidi="ar"/>
              </w:rPr>
              <w:t>注：</w:t>
            </w:r>
            <w:r>
              <w:rPr>
                <w:rStyle w:val="6"/>
                <w:rFonts w:hint="eastAsia" w:ascii="仿宋" w:hAnsi="仿宋" w:eastAsia="仿宋" w:cs="仿宋"/>
                <w:b/>
                <w:i w:val="0"/>
                <w:caps w:val="0"/>
                <w:color w:val="auto"/>
                <w:spacing w:val="0"/>
                <w:kern w:val="0"/>
                <w:sz w:val="24"/>
                <w:szCs w:val="24"/>
                <w:lang w:val="en-US" w:eastAsia="zh-CN" w:bidi="ar"/>
              </w:rPr>
              <w:t>提供承诺函，格式自拟。</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本项最高得13分。</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13分</w:t>
            </w:r>
          </w:p>
        </w:tc>
      </w:tr>
      <w:tr>
        <w:tblPrEx>
          <w:tblLayout w:type="fixed"/>
          <w:tblCellMar>
            <w:top w:w="0" w:type="dxa"/>
            <w:left w:w="0" w:type="dxa"/>
            <w:bottom w:w="0" w:type="dxa"/>
            <w:right w:w="0" w:type="dxa"/>
          </w:tblCellMar>
        </w:tblPrEx>
        <w:trPr>
          <w:trHeight w:val="5503" w:hRule="atLeast"/>
          <w:jc w:val="center"/>
        </w:trPr>
        <w:tc>
          <w:tcPr>
            <w:tcW w:w="8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3</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公司业绩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（14分）</w:t>
            </w:r>
          </w:p>
        </w:tc>
        <w:tc>
          <w:tcPr>
            <w:tcW w:w="61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近1年（2022年7月31日至2023年7月31日）政府采购项目及工程招投标项目业绩</w:t>
            </w:r>
            <w:r>
              <w:rPr>
                <w:rFonts w:hint="eastAsia" w:ascii="仿宋" w:hAnsi="仿宋" w:eastAsia="仿宋" w:cs="仿宋"/>
                <w:i w:val="0"/>
                <w:caps w:val="0"/>
                <w:color w:val="auto"/>
                <w:spacing w:val="0"/>
                <w:kern w:val="0"/>
                <w:sz w:val="24"/>
                <w:szCs w:val="24"/>
                <w:u w:val="none"/>
                <w:lang w:val="en-US" w:eastAsia="zh-CN" w:bidi="ar"/>
              </w:rPr>
              <w:t>（分公司名义申请的，以分公司业绩为准）：</w:t>
            </w:r>
            <w:r>
              <w:rPr>
                <w:rFonts w:hint="eastAsia" w:ascii="仿宋" w:hAnsi="仿宋" w:eastAsia="仿宋" w:cs="仿宋"/>
                <w:i w:val="0"/>
                <w:caps w:val="0"/>
                <w:color w:val="auto"/>
                <w:spacing w:val="0"/>
                <w:kern w:val="0"/>
                <w:sz w:val="24"/>
                <w:szCs w:val="24"/>
                <w:u w:val="none"/>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 xml:space="preserve">  （1）单个不同单位政府采购项目（预算金额100万元以上）的，每个得1分（</w:t>
            </w:r>
            <w:r>
              <w:rPr>
                <w:rFonts w:hint="default" w:ascii="仿宋_GB2312" w:eastAsia="仿宋_GB2312" w:cs="仿宋_GB2312"/>
                <w:b w:val="0"/>
                <w:sz w:val="24"/>
                <w:szCs w:val="24"/>
              </w:rPr>
              <w:t>同单位多个项目只得2分</w:t>
            </w:r>
            <w:r>
              <w:rPr>
                <w:rFonts w:hint="eastAsia" w:ascii="仿宋" w:hAnsi="仿宋" w:eastAsia="仿宋" w:cs="仿宋"/>
                <w:i w:val="0"/>
                <w:caps w:val="0"/>
                <w:color w:val="auto"/>
                <w:spacing w:val="0"/>
                <w:kern w:val="0"/>
                <w:sz w:val="24"/>
                <w:szCs w:val="24"/>
                <w:lang w:val="en-US" w:eastAsia="zh-CN" w:bidi="ar"/>
              </w:rPr>
              <w:t>），最高得12分；</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 xml:space="preserve">  （2）单个不同单位工程招投标项目（预算金额400万元以上）的，每个得1分（同单位多个项目只得1分），最高得2分；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719" w:leftChars="228" w:right="0" w:rightChars="0" w:hanging="240" w:hangingChars="10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本项最高得14分。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rightChars="0" w:firstLine="482"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b/>
                <w:bCs/>
                <w:i w:val="0"/>
                <w:caps w:val="0"/>
                <w:color w:val="auto"/>
                <w:spacing w:val="0"/>
                <w:kern w:val="0"/>
                <w:sz w:val="24"/>
                <w:szCs w:val="24"/>
                <w:lang w:val="en-US" w:eastAsia="zh-CN" w:bidi="ar"/>
              </w:rPr>
              <w:t>注：以代理合同签订日期为准，</w:t>
            </w:r>
            <w:r>
              <w:rPr>
                <w:rStyle w:val="6"/>
                <w:rFonts w:hint="eastAsia" w:ascii="仿宋" w:hAnsi="仿宋" w:eastAsia="仿宋" w:cs="仿宋"/>
                <w:b/>
                <w:i w:val="0"/>
                <w:caps w:val="0"/>
                <w:color w:val="auto"/>
                <w:spacing w:val="0"/>
                <w:kern w:val="0"/>
                <w:sz w:val="24"/>
                <w:szCs w:val="24"/>
                <w:lang w:val="en-US" w:eastAsia="zh-CN" w:bidi="ar"/>
              </w:rPr>
              <w:t>提供中标或成交通知书、采购代理合同或协议书及招标公告网页截图（招标公告为：中国政府采购网，广东省政府采购智慧云平台，河源市公共资源交易中心-建设工程），并加盖公章。</w:t>
            </w:r>
          </w:p>
        </w:tc>
        <w:tc>
          <w:tcPr>
            <w:tcW w:w="93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14分</w:t>
            </w:r>
          </w:p>
        </w:tc>
      </w:tr>
      <w:tr>
        <w:tblPrEx>
          <w:tblLayout w:type="fixed"/>
          <w:tblCellMar>
            <w:top w:w="0" w:type="dxa"/>
            <w:left w:w="0" w:type="dxa"/>
            <w:bottom w:w="0" w:type="dxa"/>
            <w:right w:w="0" w:type="dxa"/>
          </w:tblCellMar>
        </w:tblPrEx>
        <w:trPr>
          <w:trHeight w:val="4995" w:hRule="atLeast"/>
          <w:jc w:val="center"/>
        </w:trPr>
        <w:tc>
          <w:tcPr>
            <w:tcW w:w="845"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5</w:t>
            </w:r>
          </w:p>
        </w:tc>
        <w:tc>
          <w:tcPr>
            <w:tcW w:w="1141"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both"/>
              <w:textAlignment w:val="center"/>
              <w:outlineLvl w:val="9"/>
              <w:rPr>
                <w:rFonts w:hint="default" w:ascii="仿宋" w:hAnsi="仿宋" w:eastAsia="仿宋" w:cs="仿宋"/>
                <w:color w:val="auto"/>
                <w:sz w:val="27"/>
                <w:szCs w:val="27"/>
                <w:lang w:val="en-US"/>
              </w:rPr>
            </w:pPr>
            <w:r>
              <w:rPr>
                <w:rFonts w:hint="eastAsia" w:ascii="仿宋" w:hAnsi="仿宋" w:eastAsia="仿宋" w:cs="仿宋"/>
                <w:i w:val="0"/>
                <w:caps w:val="0"/>
                <w:color w:val="auto"/>
                <w:spacing w:val="0"/>
                <w:kern w:val="0"/>
                <w:sz w:val="24"/>
                <w:szCs w:val="24"/>
                <w:lang w:val="en-US" w:eastAsia="zh-CN" w:bidi="ar"/>
              </w:rPr>
              <w:t>功能室场地及其他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（12分）</w:t>
            </w:r>
          </w:p>
        </w:tc>
        <w:tc>
          <w:tcPr>
            <w:tcW w:w="61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20" w:firstLineChars="175"/>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固定经营业场所办公面积（S）情况：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S≥400㎡得4分；300㎡≦S&lt;400㎡，得2分；200㎡≦S&lt;300㎡，得1分；S&lt;200㎡不得分。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firstLineChars="175"/>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（2）</w:t>
            </w:r>
            <w:r>
              <w:rPr>
                <w:rFonts w:hint="eastAsia" w:ascii="仿宋_GB2312" w:eastAsia="仿宋_GB2312" w:cs="仿宋_GB2312"/>
                <w:b w:val="0"/>
                <w:sz w:val="24"/>
                <w:szCs w:val="24"/>
                <w:lang w:val="en-US" w:eastAsia="zh-CN"/>
              </w:rPr>
              <w:t>须具备独立的开标室（1间）、评标室（2间）基础上，</w:t>
            </w:r>
            <w:r>
              <w:rPr>
                <w:rFonts w:hint="default" w:ascii="仿宋_GB2312" w:eastAsia="仿宋_GB2312" w:cs="仿宋_GB2312"/>
                <w:b w:val="0"/>
                <w:sz w:val="24"/>
                <w:szCs w:val="24"/>
              </w:rPr>
              <w:t>每增加1间得1分，</w:t>
            </w:r>
            <w:r>
              <w:rPr>
                <w:rFonts w:hint="eastAsia" w:ascii="仿宋" w:hAnsi="仿宋" w:eastAsia="仿宋" w:cs="仿宋"/>
                <w:i w:val="0"/>
                <w:caps w:val="0"/>
                <w:color w:val="auto"/>
                <w:spacing w:val="0"/>
                <w:kern w:val="0"/>
                <w:sz w:val="24"/>
                <w:szCs w:val="24"/>
                <w:lang w:val="en-US" w:eastAsia="zh-CN" w:bidi="ar"/>
              </w:rPr>
              <w:t>最高得3分。</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 xml:space="preserve">   （3）具备独立监督室，并配备计算机设备，满足监控、监听要求的，得1分，没有不得分。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20" w:firstLineChars="175"/>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（4）具备独立档案室，且总面积不少于30</w:t>
            </w:r>
            <w:r>
              <w:rPr>
                <w:rFonts w:hint="eastAsia" w:ascii="宋体" w:hAnsi="宋体" w:eastAsia="宋体" w:cs="宋体"/>
                <w:i w:val="0"/>
                <w:caps w:val="0"/>
                <w:color w:val="auto"/>
                <w:spacing w:val="0"/>
                <w:kern w:val="0"/>
                <w:sz w:val="24"/>
                <w:szCs w:val="24"/>
                <w:lang w:val="en-US" w:eastAsia="zh-CN" w:bidi="ar"/>
              </w:rPr>
              <w:t>㎡</w:t>
            </w:r>
            <w:r>
              <w:rPr>
                <w:rFonts w:hint="eastAsia" w:ascii="仿宋" w:hAnsi="仿宋" w:eastAsia="仿宋" w:cs="仿宋"/>
                <w:i w:val="0"/>
                <w:caps w:val="0"/>
                <w:color w:val="auto"/>
                <w:spacing w:val="0"/>
                <w:kern w:val="0"/>
                <w:sz w:val="24"/>
                <w:szCs w:val="24"/>
                <w:lang w:val="en-US" w:eastAsia="zh-CN" w:bidi="ar"/>
              </w:rPr>
              <w:t>，得2分，没有不得分。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479" w:leftChars="228" w:right="0" w:firstLine="0" w:firstLineChars="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本项最高得10分。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2" w:firstLineChars="200"/>
              <w:jc w:val="both"/>
              <w:textAlignment w:val="center"/>
              <w:outlineLvl w:val="9"/>
              <w:rPr>
                <w:rFonts w:hint="eastAsia" w:ascii="仿宋" w:hAnsi="仿宋" w:eastAsia="仿宋" w:cs="仿宋"/>
                <w:color w:val="auto"/>
                <w:sz w:val="27"/>
                <w:szCs w:val="27"/>
              </w:rPr>
            </w:pPr>
            <w:r>
              <w:rPr>
                <w:rStyle w:val="6"/>
                <w:rFonts w:hint="eastAsia" w:ascii="仿宋" w:hAnsi="仿宋" w:eastAsia="仿宋" w:cs="仿宋"/>
                <w:b/>
                <w:i w:val="0"/>
                <w:caps w:val="0"/>
                <w:color w:val="auto"/>
                <w:spacing w:val="0"/>
                <w:kern w:val="0"/>
                <w:sz w:val="24"/>
                <w:szCs w:val="24"/>
                <w:lang w:val="en-US" w:eastAsia="zh-CN" w:bidi="ar"/>
              </w:rPr>
              <w:t>注：提供房产证或租赁合同复印件、开评标室照片、监控系统图片，并加盖公章，证明材料不全不得分。</w:t>
            </w:r>
          </w:p>
        </w:tc>
        <w:tc>
          <w:tcPr>
            <w:tcW w:w="93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10分</w:t>
            </w:r>
          </w:p>
        </w:tc>
      </w:tr>
      <w:tr>
        <w:tblPrEx>
          <w:shd w:val="clear" w:color="auto" w:fill="FFFFFF"/>
          <w:tblLayout w:type="fixed"/>
          <w:tblCellMar>
            <w:top w:w="0" w:type="dxa"/>
            <w:left w:w="0" w:type="dxa"/>
            <w:bottom w:w="0" w:type="dxa"/>
            <w:right w:w="0" w:type="dxa"/>
          </w:tblCellMar>
        </w:tblPrEx>
        <w:trPr>
          <w:trHeight w:val="2714" w:hRule="atLeast"/>
          <w:jc w:val="center"/>
        </w:trPr>
        <w:tc>
          <w:tcPr>
            <w:tcW w:w="845"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i w:val="0"/>
                <w:caps w:val="0"/>
                <w:color w:val="auto"/>
                <w:spacing w:val="0"/>
                <w:kern w:val="0"/>
                <w:sz w:val="24"/>
                <w:szCs w:val="24"/>
                <w:lang w:val="en-US" w:eastAsia="zh-CN" w:bidi="ar"/>
              </w:rPr>
            </w:pPr>
          </w:p>
        </w:tc>
        <w:tc>
          <w:tcPr>
            <w:tcW w:w="1141"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i w:val="0"/>
                <w:caps w:val="0"/>
                <w:color w:val="auto"/>
                <w:spacing w:val="0"/>
                <w:kern w:val="0"/>
                <w:sz w:val="24"/>
                <w:szCs w:val="24"/>
                <w:lang w:val="en-US" w:eastAsia="zh-CN" w:bidi="ar"/>
              </w:rPr>
            </w:pPr>
          </w:p>
        </w:tc>
        <w:tc>
          <w:tcPr>
            <w:tcW w:w="61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企业具有法律职业资格担任专职的法务人员或聘任律师事务所法律顾问的得2分，否则不得分。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479" w:leftChars="228" w:right="0" w:firstLine="0" w:firstLineChars="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本项最高得2分。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rightChars="0" w:firstLine="482" w:firstLineChars="200"/>
              <w:jc w:val="both"/>
              <w:textAlignment w:val="center"/>
              <w:outlineLvl w:val="9"/>
              <w:rPr>
                <w:rStyle w:val="6"/>
                <w:rFonts w:hint="eastAsia" w:ascii="仿宋" w:hAnsi="仿宋" w:eastAsia="仿宋" w:cs="仿宋"/>
                <w:b/>
                <w:i w:val="0"/>
                <w:caps w:val="0"/>
                <w:color w:val="auto"/>
                <w:spacing w:val="0"/>
                <w:kern w:val="0"/>
                <w:sz w:val="24"/>
                <w:szCs w:val="24"/>
                <w:lang w:val="en-US" w:eastAsia="zh-CN" w:bidi="ar"/>
              </w:rPr>
            </w:pPr>
            <w:r>
              <w:rPr>
                <w:rFonts w:hint="eastAsia" w:ascii="仿宋" w:hAnsi="仿宋" w:eastAsia="仿宋" w:cs="仿宋"/>
                <w:b/>
                <w:bCs/>
                <w:i w:val="0"/>
                <w:caps w:val="0"/>
                <w:color w:val="auto"/>
                <w:spacing w:val="0"/>
                <w:kern w:val="0"/>
                <w:sz w:val="24"/>
                <w:szCs w:val="24"/>
                <w:lang w:val="en-US" w:eastAsia="zh-CN" w:bidi="ar"/>
              </w:rPr>
              <w:t>注：</w:t>
            </w:r>
            <w:r>
              <w:rPr>
                <w:rStyle w:val="6"/>
                <w:rFonts w:hint="eastAsia" w:ascii="仿宋" w:hAnsi="仿宋" w:eastAsia="仿宋" w:cs="仿宋"/>
                <w:b/>
                <w:i w:val="0"/>
                <w:caps w:val="0"/>
                <w:color w:val="auto"/>
                <w:spacing w:val="0"/>
                <w:kern w:val="0"/>
                <w:sz w:val="24"/>
                <w:szCs w:val="24"/>
                <w:lang w:val="en-US" w:eastAsia="zh-CN" w:bidi="ar"/>
              </w:rPr>
              <w:t>提供聘任合同或委托协议等证明文件，如果单位具有法律职业资格人员的，另须提供有效的法律职业资格证书复印件，及提供社保证明。</w:t>
            </w:r>
          </w:p>
        </w:tc>
        <w:tc>
          <w:tcPr>
            <w:tcW w:w="93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default"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2分</w:t>
            </w:r>
          </w:p>
        </w:tc>
      </w:tr>
      <w:tr>
        <w:tblPrEx>
          <w:tblLayout w:type="fixed"/>
          <w:tblCellMar>
            <w:top w:w="0" w:type="dxa"/>
            <w:left w:w="0" w:type="dxa"/>
            <w:bottom w:w="0" w:type="dxa"/>
            <w:right w:w="0" w:type="dxa"/>
          </w:tblCellMar>
        </w:tblPrEx>
        <w:trPr>
          <w:trHeight w:val="707" w:hRule="atLeast"/>
          <w:jc w:val="center"/>
        </w:trPr>
        <w:tc>
          <w:tcPr>
            <w:tcW w:w="9080" w:type="dxa"/>
            <w:gridSpan w:val="4"/>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技术部分（15分）</w:t>
            </w:r>
          </w:p>
        </w:tc>
      </w:tr>
      <w:tr>
        <w:tblPrEx>
          <w:tblLayout w:type="fixed"/>
          <w:tblCellMar>
            <w:top w:w="0" w:type="dxa"/>
            <w:left w:w="0" w:type="dxa"/>
            <w:bottom w:w="0" w:type="dxa"/>
            <w:right w:w="0" w:type="dxa"/>
          </w:tblCellMar>
        </w:tblPrEx>
        <w:trPr>
          <w:trHeight w:val="3303" w:hRule="atLeast"/>
          <w:jc w:val="center"/>
        </w:trPr>
        <w:tc>
          <w:tcPr>
            <w:tcW w:w="84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6</w:t>
            </w:r>
          </w:p>
        </w:tc>
        <w:tc>
          <w:tcPr>
            <w:tcW w:w="1141"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方案要点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（15分）</w:t>
            </w:r>
          </w:p>
        </w:tc>
        <w:tc>
          <w:tcPr>
            <w:tcW w:w="6164" w:type="dxa"/>
            <w:tcBorders>
              <w:top w:val="single" w:color="000000" w:sz="8" w:space="0"/>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20" w:firstLineChars="175"/>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招标代理服务方案及时间计划表。（方案包括采购全流程咨询服务，法律服务，采购响应时间，提供采购培训等）：提供的措施方案完整、清晰、具体，科学合理，服务响应较好，得3分；提供的措施方案较完善、具体，服务响应一般得1分；提供的措施方案不完善、不具体，缺少相关内容的评审要点，服务响应较差或未提供，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本项最高得3分。</w:t>
            </w:r>
          </w:p>
        </w:tc>
        <w:tc>
          <w:tcPr>
            <w:tcW w:w="930" w:type="dxa"/>
            <w:tcBorders>
              <w:top w:val="single" w:color="000000" w:sz="8" w:space="0"/>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3分</w:t>
            </w:r>
          </w:p>
        </w:tc>
      </w:tr>
      <w:tr>
        <w:tblPrEx>
          <w:tblLayout w:type="fixed"/>
          <w:tblCellMar>
            <w:top w:w="0" w:type="dxa"/>
            <w:left w:w="0" w:type="dxa"/>
            <w:bottom w:w="0" w:type="dxa"/>
            <w:right w:w="0" w:type="dxa"/>
          </w:tblCellMar>
        </w:tblPrEx>
        <w:trPr>
          <w:trHeight w:val="4730" w:hRule="atLeast"/>
          <w:jc w:val="center"/>
        </w:trPr>
        <w:tc>
          <w:tcPr>
            <w:tcW w:w="8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1141" w:type="dxa"/>
            <w:vMerge w:val="continue"/>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61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20"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自建专家库的管理措施。（自建专家库入库数量、专业结构情况及抽取方式说明，公共或共享专家库的抽取方式说明，以及保密方案等）</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 xml:space="preserve">    ①提供的措施方案完整、清晰、具体，科学合理，服务响应较好，得2分；提供的措施方案较完善、具体，服务响应一般得1分；提供的措施方案不完善、不具体，服务响应较差或未提供，不得分。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0" w:firstLineChars="20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②自有随机抽取专家系统，专家组成及专业结构全面，抽取及解密流程严谨的，得1分；无自有专家随机抽取专家系统不得分。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0" w:firstLineChars="20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本项最高得3分。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rightChars="0" w:firstLine="482" w:firstLineChars="200"/>
              <w:jc w:val="both"/>
              <w:textAlignment w:val="center"/>
              <w:outlineLvl w:val="9"/>
              <w:rPr>
                <w:rFonts w:hint="default" w:ascii="仿宋" w:hAnsi="仿宋" w:eastAsia="仿宋" w:cs="仿宋"/>
                <w:i w:val="0"/>
                <w:caps w:val="0"/>
                <w:color w:val="auto"/>
                <w:spacing w:val="0"/>
                <w:kern w:val="0"/>
                <w:sz w:val="24"/>
                <w:szCs w:val="24"/>
                <w:lang w:val="en-US" w:eastAsia="zh-CN" w:bidi="ar"/>
              </w:rPr>
            </w:pPr>
            <w:r>
              <w:rPr>
                <w:rFonts w:hint="eastAsia" w:ascii="仿宋" w:hAnsi="仿宋" w:eastAsia="仿宋" w:cs="仿宋"/>
                <w:b/>
                <w:bCs/>
                <w:i w:val="0"/>
                <w:caps w:val="0"/>
                <w:color w:val="auto"/>
                <w:spacing w:val="0"/>
                <w:kern w:val="0"/>
                <w:sz w:val="24"/>
                <w:szCs w:val="24"/>
                <w:lang w:val="en-US" w:eastAsia="zh-CN" w:bidi="ar"/>
              </w:rPr>
              <w:t>注：提供抽取网页截图等相关证明材料。</w:t>
            </w:r>
          </w:p>
        </w:tc>
        <w:tc>
          <w:tcPr>
            <w:tcW w:w="93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3分</w:t>
            </w:r>
          </w:p>
        </w:tc>
      </w:tr>
      <w:tr>
        <w:tblPrEx>
          <w:shd w:val="clear" w:color="auto" w:fill="FFFFFF"/>
          <w:tblLayout w:type="fixed"/>
          <w:tblCellMar>
            <w:top w:w="0" w:type="dxa"/>
            <w:left w:w="0" w:type="dxa"/>
            <w:bottom w:w="0" w:type="dxa"/>
            <w:right w:w="0" w:type="dxa"/>
          </w:tblCellMar>
        </w:tblPrEx>
        <w:trPr>
          <w:trHeight w:val="2774" w:hRule="atLeast"/>
          <w:jc w:val="center"/>
        </w:trPr>
        <w:tc>
          <w:tcPr>
            <w:tcW w:w="8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114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6164"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20"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质疑处理的措施。（对项目的投诉质疑事项提供应对方案，处理时效等，可提供案例分析说明）</w:t>
            </w:r>
            <w:r>
              <w:rPr>
                <w:rFonts w:hint="eastAsia" w:ascii="仿宋" w:hAnsi="仿宋" w:eastAsia="仿宋" w:cs="仿宋"/>
                <w:i w:val="0"/>
                <w:caps w:val="0"/>
                <w:color w:val="auto"/>
                <w:spacing w:val="0"/>
                <w:kern w:val="0"/>
                <w:sz w:val="24"/>
                <w:szCs w:val="24"/>
                <w:lang w:val="en-US" w:eastAsia="zh-CN" w:bidi="ar"/>
              </w:rPr>
              <w:br w:type="textWrapping"/>
            </w:r>
            <w:r>
              <w:rPr>
                <w:rFonts w:hint="eastAsia" w:ascii="仿宋" w:hAnsi="仿宋" w:eastAsia="仿宋" w:cs="仿宋"/>
                <w:i w:val="0"/>
                <w:caps w:val="0"/>
                <w:color w:val="auto"/>
                <w:spacing w:val="0"/>
                <w:kern w:val="0"/>
                <w:sz w:val="24"/>
                <w:szCs w:val="24"/>
                <w:lang w:val="en-US" w:eastAsia="zh-CN" w:bidi="ar"/>
              </w:rPr>
              <w:t>提供的措施方案完整、清晰、具体，科学合理，服务响应较好，得3分；提供的措施方案较完善、具体，服务响应一般得1分；提供的措施方案不完善、不具体，服务响应较差或未提供，不得分。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0" w:firstLineChars="20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本项最高得3分。</w:t>
            </w:r>
          </w:p>
        </w:tc>
        <w:tc>
          <w:tcPr>
            <w:tcW w:w="930"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3分</w:t>
            </w:r>
          </w:p>
        </w:tc>
      </w:tr>
      <w:tr>
        <w:tblPrEx>
          <w:tblLayout w:type="fixed"/>
          <w:tblCellMar>
            <w:top w:w="0" w:type="dxa"/>
            <w:left w:w="0" w:type="dxa"/>
            <w:bottom w:w="0" w:type="dxa"/>
            <w:right w:w="0" w:type="dxa"/>
          </w:tblCellMar>
        </w:tblPrEx>
        <w:trPr>
          <w:trHeight w:val="1210" w:hRule="atLeast"/>
          <w:jc w:val="center"/>
        </w:trPr>
        <w:tc>
          <w:tcPr>
            <w:tcW w:w="8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114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616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20"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保密工作，廉政风险防范措施。（在项目采购全过程中如何做好项目的保密工作、廉政风险防范等，提供措施方案）提供的措施方案完整、清晰、具体，科学合理，服务响应较好，得2分；提供的措施方案较完善、具体，服务响应一般得1分；提供的措施方案不完善、不具体，服务响应较差或未提供，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0" w:firstLineChars="20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本项最高得2分。</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2分</w:t>
            </w:r>
          </w:p>
        </w:tc>
      </w:tr>
      <w:tr>
        <w:tblPrEx>
          <w:tblLayout w:type="fixed"/>
          <w:tblCellMar>
            <w:top w:w="0" w:type="dxa"/>
            <w:left w:w="0" w:type="dxa"/>
            <w:bottom w:w="0" w:type="dxa"/>
            <w:right w:w="0" w:type="dxa"/>
          </w:tblCellMar>
        </w:tblPrEx>
        <w:trPr>
          <w:trHeight w:val="2774" w:hRule="atLeast"/>
          <w:jc w:val="center"/>
        </w:trPr>
        <w:tc>
          <w:tcPr>
            <w:tcW w:w="8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114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616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（5）档案制度的管理方案。（对承接的采购项目如何做好资料过程留痕，归档管理措施，档案室管理情况等）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rightChars="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提供的措施方案完整、清晰、具体，科学合理，服务响应较好，得2分；提供的措施方案较完善、具体，服务响应一般得1分；提供的措施方案不完善、不具体，服务响应较差或未提供，不得分。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0" w:firstLineChars="20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本项最高得2分。</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2分</w:t>
            </w:r>
          </w:p>
        </w:tc>
      </w:tr>
      <w:tr>
        <w:tblPrEx>
          <w:shd w:val="clear" w:color="auto" w:fill="FFFFFF"/>
          <w:tblLayout w:type="fixed"/>
          <w:tblCellMar>
            <w:top w:w="0" w:type="dxa"/>
            <w:left w:w="0" w:type="dxa"/>
            <w:bottom w:w="0" w:type="dxa"/>
            <w:right w:w="0" w:type="dxa"/>
          </w:tblCellMar>
        </w:tblPrEx>
        <w:trPr>
          <w:trHeight w:val="3103" w:hRule="atLeast"/>
          <w:jc w:val="center"/>
        </w:trPr>
        <w:tc>
          <w:tcPr>
            <w:tcW w:w="8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114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40" w:firstLineChars="200"/>
              <w:jc w:val="both"/>
              <w:outlineLvl w:val="9"/>
              <w:rPr>
                <w:rFonts w:hint="eastAsia" w:ascii="仿宋" w:hAnsi="仿宋" w:eastAsia="仿宋" w:cs="仿宋"/>
                <w:i w:val="0"/>
                <w:caps w:val="0"/>
                <w:color w:val="auto"/>
                <w:spacing w:val="0"/>
                <w:sz w:val="27"/>
                <w:szCs w:val="27"/>
              </w:rPr>
            </w:pPr>
          </w:p>
        </w:tc>
        <w:tc>
          <w:tcPr>
            <w:tcW w:w="616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firstLineChars="175"/>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6）对公开招标、邀请招标、竞争性谈判、竞争性磋商、询价采购和单一来源采购政策的解读、培训方案进行评审：对相关法律法规非常熟悉、对新规定能快速响应，描述清楚、政策清晰，及时落实到项目文件编制各个相关环节的，得2分；对相关法律法规较熟悉、对新规定能响应落实，描述较为清楚、政策较为清晰，得1分；对相关法律法规不熟悉或对新规定未能响应落实，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0" w:firstLineChars="200"/>
              <w:jc w:val="both"/>
              <w:textAlignment w:val="center"/>
              <w:outlineLvl w:val="9"/>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本项最高得2分。</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2分</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lang w:val="en-US" w:eastAsia="zh-CN"/>
        </w:rPr>
        <w:t>4.</w:t>
      </w:r>
      <w:r>
        <w:rPr>
          <w:rFonts w:hint="eastAsia" w:ascii="仿宋" w:hAnsi="仿宋" w:eastAsia="仿宋" w:cs="仿宋"/>
          <w:b/>
          <w:bCs/>
          <w:i w:val="0"/>
          <w:caps w:val="0"/>
          <w:color w:val="auto"/>
          <w:spacing w:val="0"/>
          <w:sz w:val="32"/>
          <w:szCs w:val="32"/>
          <w:shd w:val="clear" w:fill="FFFFFF"/>
        </w:rPr>
        <w:t>现场考察。</w:t>
      </w:r>
      <w:r>
        <w:rPr>
          <w:rFonts w:hint="eastAsia" w:ascii="仿宋" w:hAnsi="仿宋" w:eastAsia="仿宋" w:cs="仿宋"/>
          <w:i w:val="0"/>
          <w:caps w:val="0"/>
          <w:color w:val="auto"/>
          <w:spacing w:val="0"/>
          <w:sz w:val="32"/>
          <w:szCs w:val="32"/>
          <w:shd w:val="clear" w:fill="FFFFFF"/>
        </w:rPr>
        <w:t>评审小组</w:t>
      </w:r>
      <w:r>
        <w:rPr>
          <w:rFonts w:hint="eastAsia" w:ascii="仿宋" w:hAnsi="仿宋" w:eastAsia="仿宋" w:cs="仿宋"/>
          <w:i w:val="0"/>
          <w:caps w:val="0"/>
          <w:color w:val="auto"/>
          <w:spacing w:val="0"/>
          <w:sz w:val="32"/>
          <w:szCs w:val="32"/>
          <w:shd w:val="clear" w:fill="FFFFFF"/>
          <w:lang w:val="en-US" w:eastAsia="zh-CN"/>
        </w:rPr>
        <w:t>结合申请材料报送及业务便利性等情况对</w:t>
      </w:r>
      <w:r>
        <w:rPr>
          <w:rFonts w:hint="eastAsia" w:ascii="仿宋" w:hAnsi="仿宋" w:eastAsia="仿宋" w:cs="仿宋"/>
          <w:i w:val="0"/>
          <w:caps w:val="0"/>
          <w:color w:val="auto"/>
          <w:spacing w:val="0"/>
          <w:sz w:val="32"/>
          <w:szCs w:val="32"/>
          <w:shd w:val="clear" w:fill="FFFFFF"/>
        </w:rPr>
        <w:t>申请人进行现场实地考察，本项得分为2</w:t>
      </w:r>
      <w:r>
        <w:rPr>
          <w:rFonts w:hint="eastAsia" w:ascii="仿宋" w:hAnsi="仿宋" w:eastAsia="仿宋" w:cs="仿宋"/>
          <w:i w:val="0"/>
          <w:caps w:val="0"/>
          <w:color w:val="auto"/>
          <w:spacing w:val="0"/>
          <w:sz w:val="32"/>
          <w:szCs w:val="32"/>
          <w:shd w:val="clear" w:fill="FFFFFF"/>
          <w:lang w:val="en-US" w:eastAsia="zh-CN"/>
        </w:rPr>
        <w:t>5</w:t>
      </w:r>
      <w:r>
        <w:rPr>
          <w:rFonts w:hint="eastAsia" w:ascii="仿宋" w:hAnsi="仿宋" w:eastAsia="仿宋" w:cs="仿宋"/>
          <w:i w:val="0"/>
          <w:caps w:val="0"/>
          <w:color w:val="auto"/>
          <w:spacing w:val="0"/>
          <w:sz w:val="32"/>
          <w:szCs w:val="32"/>
          <w:shd w:val="clear" w:fill="FFFFFF"/>
        </w:rPr>
        <w:t>分，评分标准见下表：</w:t>
      </w:r>
    </w:p>
    <w:tbl>
      <w:tblPr>
        <w:tblStyle w:val="7"/>
        <w:tblW w:w="8980" w:type="dxa"/>
        <w:tblInd w:w="0" w:type="dxa"/>
        <w:shd w:val="clear" w:color="auto" w:fill="FFFFFF"/>
        <w:tblLayout w:type="fixed"/>
        <w:tblCellMar>
          <w:top w:w="0" w:type="dxa"/>
          <w:left w:w="0" w:type="dxa"/>
          <w:bottom w:w="0" w:type="dxa"/>
          <w:right w:w="0" w:type="dxa"/>
        </w:tblCellMar>
      </w:tblPr>
      <w:tblGrid>
        <w:gridCol w:w="609"/>
        <w:gridCol w:w="1200"/>
        <w:gridCol w:w="5940"/>
        <w:gridCol w:w="1231"/>
      </w:tblGrid>
      <w:tr>
        <w:tblPrEx>
          <w:tblLayout w:type="fixed"/>
          <w:tblCellMar>
            <w:top w:w="0" w:type="dxa"/>
            <w:left w:w="0" w:type="dxa"/>
            <w:bottom w:w="0" w:type="dxa"/>
            <w:right w:w="0" w:type="dxa"/>
          </w:tblCellMar>
        </w:tblPrEx>
        <w:trPr>
          <w:trHeight w:val="690" w:hRule="atLeast"/>
        </w:trPr>
        <w:tc>
          <w:tcPr>
            <w:tcW w:w="8980" w:type="dxa"/>
            <w:gridSpan w:val="4"/>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现场考察（25分）</w:t>
            </w:r>
          </w:p>
        </w:tc>
      </w:tr>
      <w:tr>
        <w:tblPrEx>
          <w:tblLayout w:type="fixed"/>
          <w:tblCellMar>
            <w:top w:w="0" w:type="dxa"/>
            <w:left w:w="0" w:type="dxa"/>
            <w:bottom w:w="0" w:type="dxa"/>
            <w:right w:w="0" w:type="dxa"/>
          </w:tblCellMar>
        </w:tblPrEx>
        <w:trPr>
          <w:trHeight w:val="1854" w:hRule="atLeast"/>
        </w:trPr>
        <w:tc>
          <w:tcPr>
            <w:tcW w:w="60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7</w:t>
            </w:r>
          </w:p>
        </w:tc>
        <w:tc>
          <w:tcPr>
            <w:tcW w:w="120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现场考察</w:t>
            </w:r>
          </w:p>
        </w:tc>
        <w:tc>
          <w:tcPr>
            <w:tcW w:w="594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b w:val="0"/>
                <w:sz w:val="24"/>
                <w:szCs w:val="24"/>
              </w:rPr>
            </w:pPr>
            <w:r>
              <w:rPr>
                <w:rFonts w:hint="eastAsia" w:ascii="仿宋" w:hAnsi="仿宋" w:eastAsia="仿宋" w:cs="仿宋"/>
                <w:i w:val="0"/>
                <w:caps w:val="0"/>
                <w:color w:val="auto"/>
                <w:spacing w:val="0"/>
                <w:kern w:val="0"/>
                <w:sz w:val="24"/>
                <w:szCs w:val="24"/>
                <w:lang w:val="en-US" w:eastAsia="zh-CN" w:bidi="ar"/>
              </w:rPr>
              <w:t>评审小组进行现场</w:t>
            </w:r>
            <w:r>
              <w:rPr>
                <w:rFonts w:hint="eastAsia" w:ascii="仿宋" w:hAnsi="仿宋" w:eastAsia="仿宋" w:cs="仿宋"/>
                <w:b w:val="0"/>
                <w:sz w:val="24"/>
                <w:szCs w:val="24"/>
                <w:lang w:val="en-US" w:eastAsia="zh-CN"/>
              </w:rPr>
              <w:t>考察评分，包括</w:t>
            </w:r>
            <w:r>
              <w:rPr>
                <w:rFonts w:hint="eastAsia" w:ascii="仿宋" w:hAnsi="仿宋" w:eastAsia="仿宋" w:cs="仿宋"/>
                <w:b w:val="0"/>
                <w:sz w:val="24"/>
                <w:szCs w:val="24"/>
              </w:rPr>
              <w:t>基础设施配备情况（开评标室、监控设备及评委库建立情况等）（</w:t>
            </w:r>
            <w:r>
              <w:rPr>
                <w:rFonts w:hint="eastAsia" w:ascii="仿宋" w:hAnsi="仿宋" w:eastAsia="仿宋" w:cs="仿宋"/>
                <w:b w:val="0"/>
                <w:sz w:val="24"/>
                <w:szCs w:val="24"/>
                <w:lang w:val="en-US" w:eastAsia="zh-CN"/>
              </w:rPr>
              <w:t>8</w:t>
            </w:r>
            <w:r>
              <w:rPr>
                <w:rFonts w:hint="eastAsia" w:ascii="仿宋" w:hAnsi="仿宋" w:eastAsia="仿宋" w:cs="仿宋"/>
                <w:b w:val="0"/>
                <w:sz w:val="24"/>
                <w:szCs w:val="24"/>
              </w:rPr>
              <w:t>分）、档案</w:t>
            </w:r>
            <w:r>
              <w:rPr>
                <w:rFonts w:hint="eastAsia" w:ascii="仿宋" w:hAnsi="仿宋" w:eastAsia="仿宋" w:cs="仿宋"/>
                <w:b w:val="0"/>
                <w:sz w:val="24"/>
                <w:szCs w:val="24"/>
                <w:lang w:val="en-US" w:eastAsia="zh-CN"/>
              </w:rPr>
              <w:t>管理</w:t>
            </w:r>
            <w:r>
              <w:rPr>
                <w:rFonts w:hint="eastAsia" w:ascii="仿宋" w:hAnsi="仿宋" w:eastAsia="仿宋" w:cs="仿宋"/>
                <w:b w:val="0"/>
                <w:sz w:val="24"/>
                <w:szCs w:val="24"/>
              </w:rPr>
              <w:t>情况（</w:t>
            </w:r>
            <w:r>
              <w:rPr>
                <w:rFonts w:hint="eastAsia" w:ascii="仿宋" w:hAnsi="仿宋" w:eastAsia="仿宋" w:cs="仿宋"/>
                <w:b w:val="0"/>
                <w:sz w:val="24"/>
                <w:szCs w:val="24"/>
                <w:lang w:val="en-US" w:eastAsia="zh-CN"/>
              </w:rPr>
              <w:t>管理条件</w:t>
            </w:r>
            <w:r>
              <w:rPr>
                <w:rFonts w:hint="eastAsia" w:ascii="仿宋" w:hAnsi="仿宋" w:eastAsia="仿宋" w:cs="仿宋"/>
                <w:b w:val="0"/>
                <w:sz w:val="24"/>
                <w:szCs w:val="24"/>
              </w:rPr>
              <w:t>、资料完整性</w:t>
            </w:r>
            <w:r>
              <w:rPr>
                <w:rFonts w:hint="eastAsia" w:ascii="仿宋" w:hAnsi="仿宋" w:eastAsia="仿宋" w:cs="仿宋"/>
                <w:i w:val="0"/>
                <w:caps w:val="0"/>
                <w:color w:val="auto"/>
                <w:spacing w:val="0"/>
                <w:kern w:val="0"/>
                <w:sz w:val="24"/>
                <w:szCs w:val="24"/>
                <w:lang w:val="en-US" w:eastAsia="zh-CN" w:bidi="ar"/>
              </w:rPr>
              <w:t>等）（7分）、办公环境及便利性（交通距离、车辆停放等）（10分）等</w:t>
            </w:r>
            <w:r>
              <w:rPr>
                <w:rFonts w:hint="eastAsia" w:ascii="仿宋" w:hAnsi="仿宋" w:eastAsia="仿宋" w:cs="仿宋"/>
                <w:b w:val="0"/>
                <w:sz w:val="24"/>
                <w:szCs w:val="24"/>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firstLine="480" w:firstLineChars="200"/>
              <w:jc w:val="both"/>
              <w:textAlignment w:val="center"/>
              <w:outlineLvl w:val="9"/>
              <w:rPr>
                <w:rFonts w:hint="eastAsia" w:ascii="仿宋" w:hAnsi="仿宋" w:eastAsia="仿宋" w:cs="仿宋"/>
                <w:b w:val="0"/>
                <w:sz w:val="24"/>
                <w:szCs w:val="24"/>
              </w:rPr>
            </w:pPr>
            <w:r>
              <w:rPr>
                <w:rFonts w:hint="eastAsia" w:ascii="仿宋" w:hAnsi="仿宋" w:eastAsia="仿宋" w:cs="仿宋"/>
                <w:i w:val="0"/>
                <w:caps w:val="0"/>
                <w:color w:val="auto"/>
                <w:spacing w:val="0"/>
                <w:kern w:val="0"/>
                <w:sz w:val="24"/>
                <w:szCs w:val="24"/>
                <w:lang w:val="en-US" w:eastAsia="zh-CN" w:bidi="ar"/>
              </w:rPr>
              <w:t>本项最高得25分。</w:t>
            </w:r>
          </w:p>
        </w:tc>
        <w:tc>
          <w:tcPr>
            <w:tcW w:w="1231"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25分</w:t>
            </w:r>
          </w:p>
        </w:tc>
      </w:tr>
      <w:tr>
        <w:tblPrEx>
          <w:tblLayout w:type="fixed"/>
          <w:tblCellMar>
            <w:top w:w="0" w:type="dxa"/>
            <w:left w:w="0" w:type="dxa"/>
            <w:bottom w:w="0" w:type="dxa"/>
            <w:right w:w="0" w:type="dxa"/>
          </w:tblCellMar>
        </w:tblPrEx>
        <w:trPr>
          <w:trHeight w:val="730" w:hRule="atLeast"/>
        </w:trPr>
        <w:tc>
          <w:tcPr>
            <w:tcW w:w="1809" w:type="dxa"/>
            <w:gridSpan w:val="2"/>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总分</w:t>
            </w:r>
          </w:p>
        </w:tc>
        <w:tc>
          <w:tcPr>
            <w:tcW w:w="7171"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center"/>
              <w:outlineLvl w:val="9"/>
              <w:rPr>
                <w:rFonts w:hint="eastAsia" w:ascii="仿宋" w:hAnsi="仿宋" w:eastAsia="仿宋" w:cs="仿宋"/>
                <w:color w:val="auto"/>
                <w:sz w:val="27"/>
                <w:szCs w:val="27"/>
              </w:rPr>
            </w:pPr>
            <w:r>
              <w:rPr>
                <w:rFonts w:hint="eastAsia" w:ascii="仿宋" w:hAnsi="仿宋" w:eastAsia="仿宋" w:cs="仿宋"/>
                <w:i w:val="0"/>
                <w:caps w:val="0"/>
                <w:color w:val="auto"/>
                <w:spacing w:val="0"/>
                <w:kern w:val="0"/>
                <w:sz w:val="24"/>
                <w:szCs w:val="24"/>
                <w:lang w:val="en-US" w:eastAsia="zh-CN" w:bidi="ar"/>
              </w:rPr>
              <w:t>价格(10)+商务(50)+技术(15)+现场考察(25)=100分</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outlineLvl w:val="9"/>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b/>
          <w:bCs/>
          <w:i w:val="0"/>
          <w:caps w:val="0"/>
          <w:color w:val="auto"/>
          <w:spacing w:val="0"/>
          <w:sz w:val="32"/>
          <w:szCs w:val="32"/>
          <w:shd w:val="clear" w:fill="FFFFFF"/>
          <w:lang w:val="en-US" w:eastAsia="zh-CN"/>
        </w:rPr>
        <w:t>5.确定名录。</w:t>
      </w:r>
      <w:r>
        <w:rPr>
          <w:rFonts w:hint="eastAsia" w:ascii="仿宋" w:hAnsi="仿宋" w:eastAsia="仿宋" w:cs="仿宋"/>
          <w:i w:val="0"/>
          <w:caps w:val="0"/>
          <w:color w:val="auto"/>
          <w:spacing w:val="0"/>
          <w:sz w:val="32"/>
          <w:szCs w:val="32"/>
          <w:shd w:val="clear" w:fill="FFFFFF"/>
          <w:lang w:val="en-US" w:eastAsia="zh-CN"/>
        </w:rPr>
        <w:t>监狱</w:t>
      </w:r>
      <w:r>
        <w:rPr>
          <w:rFonts w:hint="eastAsia" w:ascii="仿宋" w:hAnsi="仿宋" w:eastAsia="仿宋" w:cs="仿宋"/>
          <w:b w:val="0"/>
          <w:bCs w:val="0"/>
          <w:sz w:val="32"/>
          <w:szCs w:val="32"/>
          <w:lang w:val="en-US" w:eastAsia="zh-CN"/>
        </w:rPr>
        <w:t>根据考评结果确定10个申请人组成代理机构名录，并按推荐顺序保留3个申请人作为备选名单</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如名录内代理机构考核不合格予以清退的，由备选代理机构依次替补</w:t>
      </w:r>
      <w:r>
        <w:rPr>
          <w:rFonts w:hint="eastAsia" w:ascii="仿宋" w:hAnsi="仿宋" w:eastAsia="仿宋" w:cs="仿宋"/>
          <w:i w:val="0"/>
          <w:caps w:val="0"/>
          <w:color w:val="auto"/>
          <w:spacing w:val="0"/>
          <w:sz w:val="32"/>
          <w:szCs w:val="32"/>
          <w:shd w:val="clear" w:fill="FFFFFF"/>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b/>
          <w:bCs/>
          <w:i w:val="0"/>
          <w:caps w:val="0"/>
          <w:color w:val="auto"/>
          <w:spacing w:val="0"/>
          <w:sz w:val="32"/>
          <w:szCs w:val="32"/>
          <w:shd w:val="clear" w:fill="FFFFFF"/>
          <w:lang w:val="en-US" w:eastAsia="zh-CN"/>
        </w:rPr>
        <w:t>6.结果公告。</w:t>
      </w:r>
      <w:r>
        <w:rPr>
          <w:rFonts w:hint="eastAsia" w:ascii="仿宋" w:hAnsi="仿宋" w:eastAsia="仿宋" w:cs="仿宋"/>
          <w:b w:val="0"/>
          <w:bCs w:val="0"/>
          <w:sz w:val="32"/>
          <w:szCs w:val="32"/>
          <w:lang w:val="en-US" w:eastAsia="zh-CN"/>
        </w:rPr>
        <w:t>确定代理机构名录后，通过门户网站发布遴选结果公告</w:t>
      </w:r>
      <w:r>
        <w:rPr>
          <w:rFonts w:hint="eastAsia" w:ascii="仿宋" w:hAnsi="仿宋" w:eastAsia="仿宋" w:cs="仿宋"/>
          <w:i w:val="0"/>
          <w:caps w:val="0"/>
          <w:color w:val="auto"/>
          <w:spacing w:val="0"/>
          <w:sz w:val="32"/>
          <w:szCs w:val="32"/>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Style w:val="6"/>
          <w:rFonts w:hint="eastAsia" w:ascii="仿宋" w:hAnsi="仿宋" w:eastAsia="仿宋" w:cs="仿宋"/>
          <w:b w:val="0"/>
          <w:bCs/>
          <w:i w:val="0"/>
          <w:caps w:val="0"/>
          <w:color w:val="auto"/>
          <w:spacing w:val="0"/>
          <w:sz w:val="32"/>
          <w:szCs w:val="32"/>
          <w:shd w:val="clear" w:fill="FFFFFF"/>
          <w:lang w:val="en-US" w:eastAsia="zh-CN"/>
        </w:rPr>
      </w:pPr>
      <w:r>
        <w:rPr>
          <w:rStyle w:val="6"/>
          <w:rFonts w:hint="eastAsia" w:ascii="黑体" w:hAnsi="黑体" w:eastAsia="黑体" w:cs="黑体"/>
          <w:b w:val="0"/>
          <w:bCs/>
          <w:i w:val="0"/>
          <w:caps w:val="0"/>
          <w:color w:val="auto"/>
          <w:spacing w:val="0"/>
          <w:sz w:val="32"/>
          <w:szCs w:val="32"/>
          <w:shd w:val="clear" w:fill="FFFFFF"/>
        </w:rPr>
        <w:t>五、</w:t>
      </w:r>
      <w:r>
        <w:rPr>
          <w:rStyle w:val="6"/>
          <w:rFonts w:hint="eastAsia" w:ascii="黑体" w:hAnsi="黑体" w:eastAsia="黑体" w:cs="黑体"/>
          <w:b w:val="0"/>
          <w:bCs/>
          <w:i w:val="0"/>
          <w:caps w:val="0"/>
          <w:color w:val="auto"/>
          <w:spacing w:val="0"/>
          <w:sz w:val="32"/>
          <w:szCs w:val="32"/>
          <w:shd w:val="clear" w:fill="FFFFFF"/>
          <w:lang w:val="en-US" w:eastAsia="zh-CN"/>
        </w:rPr>
        <w:t>本公告期限：</w:t>
      </w:r>
      <w:r>
        <w:rPr>
          <w:rStyle w:val="6"/>
          <w:rFonts w:hint="eastAsia" w:ascii="仿宋" w:hAnsi="仿宋" w:eastAsia="仿宋" w:cs="仿宋"/>
          <w:b w:val="0"/>
          <w:bCs/>
          <w:i w:val="0"/>
          <w:caps w:val="0"/>
          <w:color w:val="auto"/>
          <w:spacing w:val="0"/>
          <w:sz w:val="32"/>
          <w:szCs w:val="32"/>
          <w:shd w:val="clear" w:fill="FFFFFF"/>
          <w:lang w:val="en-US" w:eastAsia="zh-CN"/>
        </w:rPr>
        <w:t>2023年</w:t>
      </w:r>
      <w:r>
        <w:rPr>
          <w:rStyle w:val="6"/>
          <w:rFonts w:hint="eastAsia" w:ascii="仿宋" w:hAnsi="仿宋" w:eastAsia="仿宋" w:cs="仿宋"/>
          <w:b w:val="0"/>
          <w:bCs/>
          <w:i w:val="0"/>
          <w:caps w:val="0"/>
          <w:color w:val="auto"/>
          <w:spacing w:val="0"/>
          <w:sz w:val="32"/>
          <w:szCs w:val="32"/>
          <w:u w:val="single"/>
          <w:shd w:val="clear" w:fill="FFFFFF"/>
          <w:lang w:val="en-US" w:eastAsia="zh-CN"/>
        </w:rPr>
        <w:t>8</w:t>
      </w:r>
      <w:r>
        <w:rPr>
          <w:rStyle w:val="6"/>
          <w:rFonts w:hint="eastAsia" w:ascii="仿宋" w:hAnsi="仿宋" w:eastAsia="仿宋" w:cs="仿宋"/>
          <w:b w:val="0"/>
          <w:bCs/>
          <w:i w:val="0"/>
          <w:caps w:val="0"/>
          <w:color w:val="auto"/>
          <w:spacing w:val="0"/>
          <w:sz w:val="32"/>
          <w:szCs w:val="32"/>
          <w:shd w:val="clear" w:fill="FFFFFF"/>
          <w:lang w:val="en-US" w:eastAsia="zh-CN"/>
        </w:rPr>
        <w:t>月</w:t>
      </w:r>
      <w:r>
        <w:rPr>
          <w:rStyle w:val="6"/>
          <w:rFonts w:hint="eastAsia" w:ascii="仿宋" w:hAnsi="仿宋" w:eastAsia="仿宋" w:cs="仿宋"/>
          <w:b w:val="0"/>
          <w:bCs/>
          <w:i w:val="0"/>
          <w:caps w:val="0"/>
          <w:color w:val="auto"/>
          <w:spacing w:val="0"/>
          <w:sz w:val="32"/>
          <w:szCs w:val="32"/>
          <w:u w:val="single"/>
          <w:shd w:val="clear" w:fill="FFFFFF"/>
          <w:lang w:val="en-US" w:eastAsia="zh-CN"/>
        </w:rPr>
        <w:t>31</w:t>
      </w:r>
      <w:r>
        <w:rPr>
          <w:rStyle w:val="6"/>
          <w:rFonts w:hint="eastAsia" w:ascii="仿宋" w:hAnsi="仿宋" w:eastAsia="仿宋" w:cs="仿宋"/>
          <w:b w:val="0"/>
          <w:bCs/>
          <w:i w:val="0"/>
          <w:caps w:val="0"/>
          <w:color w:val="auto"/>
          <w:spacing w:val="0"/>
          <w:sz w:val="32"/>
          <w:szCs w:val="32"/>
          <w:shd w:val="clear" w:fill="FFFFFF"/>
          <w:lang w:val="en-US" w:eastAsia="zh-CN"/>
        </w:rPr>
        <w:t>日至2023年</w:t>
      </w:r>
      <w:r>
        <w:rPr>
          <w:rStyle w:val="6"/>
          <w:rFonts w:hint="eastAsia" w:ascii="仿宋" w:hAnsi="仿宋" w:eastAsia="仿宋" w:cs="仿宋"/>
          <w:b w:val="0"/>
          <w:bCs/>
          <w:i w:val="0"/>
          <w:caps w:val="0"/>
          <w:color w:val="auto"/>
          <w:spacing w:val="0"/>
          <w:sz w:val="32"/>
          <w:szCs w:val="32"/>
          <w:u w:val="single"/>
          <w:shd w:val="clear" w:fill="FFFFFF"/>
          <w:lang w:val="en-US" w:eastAsia="zh-CN"/>
        </w:rPr>
        <w:t>9</w:t>
      </w:r>
      <w:r>
        <w:rPr>
          <w:rStyle w:val="6"/>
          <w:rFonts w:hint="eastAsia" w:ascii="仿宋" w:hAnsi="仿宋" w:eastAsia="仿宋" w:cs="仿宋"/>
          <w:b w:val="0"/>
          <w:bCs/>
          <w:i w:val="0"/>
          <w:caps w:val="0"/>
          <w:color w:val="auto"/>
          <w:spacing w:val="0"/>
          <w:sz w:val="32"/>
          <w:szCs w:val="32"/>
          <w:shd w:val="clear" w:fill="FFFFFF"/>
          <w:lang w:val="en-US" w:eastAsia="zh-CN"/>
        </w:rPr>
        <w:t>月</w:t>
      </w:r>
      <w:r>
        <w:rPr>
          <w:rStyle w:val="6"/>
          <w:rFonts w:hint="eastAsia" w:ascii="仿宋" w:hAnsi="仿宋" w:eastAsia="仿宋" w:cs="仿宋"/>
          <w:b w:val="0"/>
          <w:bCs/>
          <w:i w:val="0"/>
          <w:caps w:val="0"/>
          <w:color w:val="auto"/>
          <w:spacing w:val="0"/>
          <w:sz w:val="32"/>
          <w:szCs w:val="32"/>
          <w:u w:val="single"/>
          <w:shd w:val="clear" w:fill="FFFFFF"/>
          <w:lang w:val="en-US" w:eastAsia="zh-CN"/>
        </w:rPr>
        <w:t>8</w:t>
      </w:r>
      <w:r>
        <w:rPr>
          <w:rStyle w:val="6"/>
          <w:rFonts w:hint="eastAsia" w:ascii="仿宋" w:hAnsi="仿宋" w:eastAsia="仿宋" w:cs="仿宋"/>
          <w:b w:val="0"/>
          <w:bCs/>
          <w:i w:val="0"/>
          <w:caps w:val="0"/>
          <w:color w:val="auto"/>
          <w:spacing w:val="0"/>
          <w:sz w:val="32"/>
          <w:szCs w:val="32"/>
          <w:shd w:val="clear" w:fill="FFFFFF"/>
          <w:lang w:val="en-US" w:eastAsia="zh-CN"/>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Style w:val="6"/>
          <w:rFonts w:hint="eastAsia" w:ascii="黑体" w:hAnsi="黑体" w:eastAsia="黑体" w:cs="黑体"/>
          <w:b w:val="0"/>
          <w:bCs/>
          <w:i w:val="0"/>
          <w:caps w:val="0"/>
          <w:color w:val="auto"/>
          <w:spacing w:val="0"/>
          <w:kern w:val="0"/>
          <w:sz w:val="32"/>
          <w:szCs w:val="32"/>
          <w:shd w:val="clear" w:fill="FFFFFF"/>
          <w:lang w:val="en-US" w:eastAsia="zh-CN" w:bidi="ar"/>
        </w:rPr>
      </w:pPr>
      <w:r>
        <w:rPr>
          <w:rStyle w:val="6"/>
          <w:rFonts w:hint="eastAsia" w:ascii="黑体" w:hAnsi="黑体" w:eastAsia="黑体" w:cs="黑体"/>
          <w:b w:val="0"/>
          <w:bCs/>
          <w:i w:val="0"/>
          <w:caps w:val="0"/>
          <w:color w:val="auto"/>
          <w:spacing w:val="0"/>
          <w:sz w:val="32"/>
          <w:szCs w:val="32"/>
          <w:shd w:val="clear" w:fill="FFFFFF"/>
          <w:lang w:val="en-US" w:eastAsia="zh-CN"/>
        </w:rPr>
        <w:t>六、</w:t>
      </w:r>
      <w:r>
        <w:rPr>
          <w:rStyle w:val="6"/>
          <w:rFonts w:hint="eastAsia" w:ascii="黑体" w:hAnsi="黑体" w:eastAsia="黑体" w:cs="黑体"/>
          <w:b w:val="0"/>
          <w:bCs/>
          <w:i w:val="0"/>
          <w:caps w:val="0"/>
          <w:color w:val="auto"/>
          <w:spacing w:val="0"/>
          <w:kern w:val="0"/>
          <w:sz w:val="32"/>
          <w:szCs w:val="32"/>
          <w:shd w:val="clear" w:fill="FFFFFF"/>
          <w:lang w:val="en-US" w:eastAsia="zh-CN" w:bidi="ar"/>
        </w:rPr>
        <w:t>本项目联系方式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Style w:val="6"/>
          <w:rFonts w:hint="eastAsia" w:ascii="仿宋" w:hAnsi="仿宋" w:eastAsia="仿宋" w:cs="仿宋"/>
          <w:b w:val="0"/>
          <w:bCs/>
          <w:i w:val="0"/>
          <w:caps w:val="0"/>
          <w:color w:val="auto"/>
          <w:spacing w:val="0"/>
          <w:kern w:val="0"/>
          <w:sz w:val="32"/>
          <w:szCs w:val="32"/>
          <w:shd w:val="clear" w:fill="FFFFFF"/>
          <w:lang w:val="en-US" w:eastAsia="zh-CN" w:bidi="ar"/>
        </w:rPr>
      </w:pPr>
      <w:r>
        <w:rPr>
          <w:rStyle w:val="6"/>
          <w:rFonts w:hint="eastAsia" w:ascii="楷体" w:hAnsi="楷体" w:eastAsia="楷体" w:cs="楷体"/>
          <w:b w:val="0"/>
          <w:bCs/>
          <w:i w:val="0"/>
          <w:caps w:val="0"/>
          <w:color w:val="auto"/>
          <w:spacing w:val="0"/>
          <w:kern w:val="0"/>
          <w:sz w:val="32"/>
          <w:szCs w:val="32"/>
          <w:shd w:val="clear" w:fill="FFFFFF"/>
          <w:lang w:val="en-US" w:eastAsia="zh-CN" w:bidi="ar"/>
        </w:rPr>
        <w:t>（一）单位名称：</w:t>
      </w:r>
      <w:r>
        <w:rPr>
          <w:rStyle w:val="6"/>
          <w:rFonts w:hint="eastAsia" w:ascii="仿宋" w:hAnsi="仿宋" w:eastAsia="仿宋" w:cs="仿宋"/>
          <w:b w:val="0"/>
          <w:bCs/>
          <w:i w:val="0"/>
          <w:caps w:val="0"/>
          <w:color w:val="auto"/>
          <w:spacing w:val="0"/>
          <w:kern w:val="0"/>
          <w:sz w:val="32"/>
          <w:szCs w:val="32"/>
          <w:shd w:val="clear" w:fill="FFFFFF"/>
          <w:lang w:val="en-US" w:eastAsia="zh-CN" w:bidi="ar"/>
        </w:rPr>
        <w:t>广东省河源监狱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Style w:val="6"/>
          <w:rFonts w:hint="default" w:ascii="仿宋" w:hAnsi="仿宋" w:eastAsia="仿宋" w:cs="仿宋"/>
          <w:b w:val="0"/>
          <w:bCs/>
          <w:i w:val="0"/>
          <w:caps w:val="0"/>
          <w:color w:val="auto"/>
          <w:spacing w:val="0"/>
          <w:kern w:val="0"/>
          <w:sz w:val="32"/>
          <w:szCs w:val="32"/>
          <w:shd w:val="clear" w:fill="FFFFFF"/>
          <w:lang w:val="en-US" w:eastAsia="zh-CN" w:bidi="ar"/>
        </w:rPr>
      </w:pPr>
      <w:r>
        <w:rPr>
          <w:rStyle w:val="6"/>
          <w:rFonts w:hint="eastAsia" w:ascii="楷体" w:hAnsi="楷体" w:eastAsia="楷体" w:cs="楷体"/>
          <w:b w:val="0"/>
          <w:bCs/>
          <w:i w:val="0"/>
          <w:caps w:val="0"/>
          <w:color w:val="auto"/>
          <w:spacing w:val="0"/>
          <w:kern w:val="0"/>
          <w:sz w:val="32"/>
          <w:szCs w:val="32"/>
          <w:shd w:val="clear" w:fill="FFFFFF"/>
          <w:lang w:val="en-US" w:eastAsia="zh-CN" w:bidi="ar"/>
        </w:rPr>
        <w:t>（二）地址：</w:t>
      </w:r>
      <w:r>
        <w:rPr>
          <w:rStyle w:val="6"/>
          <w:rFonts w:hint="eastAsia" w:ascii="仿宋" w:hAnsi="仿宋" w:eastAsia="仿宋" w:cs="仿宋"/>
          <w:b w:val="0"/>
          <w:bCs/>
          <w:i w:val="0"/>
          <w:caps w:val="0"/>
          <w:color w:val="auto"/>
          <w:spacing w:val="0"/>
          <w:kern w:val="0"/>
          <w:sz w:val="32"/>
          <w:szCs w:val="32"/>
          <w:shd w:val="clear" w:fill="FFFFFF"/>
          <w:lang w:val="en-US" w:eastAsia="zh-CN" w:bidi="ar"/>
        </w:rPr>
        <w:t>河源市源城区东环路南2号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Fonts w:hint="eastAsia" w:ascii="仿宋" w:hAnsi="仿宋" w:eastAsia="仿宋" w:cs="仿宋"/>
          <w:i w:val="0"/>
          <w:caps w:val="0"/>
          <w:color w:val="auto"/>
          <w:spacing w:val="0"/>
          <w:kern w:val="0"/>
          <w:sz w:val="32"/>
          <w:szCs w:val="32"/>
          <w:shd w:val="clear" w:fill="FFFFFF"/>
          <w:lang w:val="en-US" w:eastAsia="zh-CN" w:bidi="ar"/>
        </w:rPr>
      </w:pPr>
      <w:r>
        <w:rPr>
          <w:rStyle w:val="6"/>
          <w:rFonts w:hint="eastAsia" w:ascii="楷体" w:hAnsi="楷体" w:eastAsia="楷体" w:cs="楷体"/>
          <w:b w:val="0"/>
          <w:bCs/>
          <w:i w:val="0"/>
          <w:caps w:val="0"/>
          <w:color w:val="auto"/>
          <w:spacing w:val="0"/>
          <w:kern w:val="0"/>
          <w:sz w:val="32"/>
          <w:szCs w:val="32"/>
          <w:shd w:val="clear" w:fill="FFFFFF"/>
          <w:lang w:val="en-US" w:eastAsia="zh-CN" w:bidi="ar"/>
        </w:rPr>
        <w:t>（三）</w:t>
      </w:r>
      <w:r>
        <w:rPr>
          <w:rFonts w:hint="eastAsia" w:ascii="楷体" w:hAnsi="楷体" w:eastAsia="楷体" w:cs="楷体"/>
          <w:i w:val="0"/>
          <w:caps w:val="0"/>
          <w:color w:val="auto"/>
          <w:spacing w:val="0"/>
          <w:kern w:val="0"/>
          <w:sz w:val="32"/>
          <w:szCs w:val="32"/>
          <w:shd w:val="clear" w:fill="FFFFFF"/>
          <w:lang w:val="en-US" w:eastAsia="zh-CN" w:bidi="ar"/>
        </w:rPr>
        <w:t>联系方式：</w:t>
      </w:r>
      <w:r>
        <w:rPr>
          <w:rFonts w:hint="eastAsia" w:ascii="仿宋" w:hAnsi="仿宋" w:eastAsia="仿宋" w:cs="仿宋"/>
          <w:i w:val="0"/>
          <w:caps w:val="0"/>
          <w:color w:val="auto"/>
          <w:spacing w:val="0"/>
          <w:kern w:val="0"/>
          <w:sz w:val="32"/>
          <w:szCs w:val="32"/>
          <w:shd w:val="clear" w:fill="FFFFFF"/>
          <w:lang w:val="en-US" w:eastAsia="zh-CN" w:bidi="ar"/>
        </w:rPr>
        <w:t>0762-3285001-8706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outlineLvl w:val="9"/>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560"/>
        </w:tabs>
        <w:kinsoku/>
        <w:wordWrap/>
        <w:overflowPunct/>
        <w:topLinePunct w:val="0"/>
        <w:autoSpaceDE/>
        <w:autoSpaceDN/>
        <w:bidi w:val="0"/>
        <w:adjustRightInd/>
        <w:snapToGrid/>
        <w:spacing w:beforeAutospacing="0" w:afterAutospacing="0" w:line="560" w:lineRule="exact"/>
        <w:ind w:left="0" w:leftChars="0" w:right="1176" w:rightChars="560" w:firstLine="640" w:firstLineChars="200"/>
        <w:jc w:val="right"/>
        <w:outlineLvl w:val="9"/>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560"/>
        </w:tabs>
        <w:kinsoku/>
        <w:wordWrap/>
        <w:overflowPunct/>
        <w:topLinePunct w:val="0"/>
        <w:autoSpaceDE/>
        <w:autoSpaceDN/>
        <w:bidi w:val="0"/>
        <w:adjustRightInd/>
        <w:snapToGrid/>
        <w:spacing w:beforeAutospacing="0" w:afterAutospacing="0" w:line="560" w:lineRule="exact"/>
        <w:ind w:left="0" w:leftChars="0" w:right="1176" w:rightChars="560" w:firstLine="640" w:firstLineChars="200"/>
        <w:jc w:val="right"/>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广东省河源监狱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560"/>
        </w:tabs>
        <w:kinsoku/>
        <w:wordWrap/>
        <w:overflowPunct/>
        <w:topLinePunct w:val="0"/>
        <w:autoSpaceDE/>
        <w:autoSpaceDN/>
        <w:bidi w:val="0"/>
        <w:adjustRightInd/>
        <w:snapToGrid/>
        <w:spacing w:beforeAutospacing="0" w:afterAutospacing="0" w:line="560" w:lineRule="exact"/>
        <w:ind w:left="0" w:leftChars="0" w:right="1176" w:rightChars="560" w:firstLine="640" w:firstLineChars="200"/>
        <w:jc w:val="right"/>
        <w:outlineLvl w:val="9"/>
        <w:rPr>
          <w:rFonts w:hint="eastAsia" w:ascii="仿宋" w:hAnsi="仿宋" w:eastAsia="仿宋" w:cs="仿宋"/>
          <w:color w:val="auto"/>
          <w:lang w:val="en-US"/>
        </w:rPr>
      </w:pPr>
      <w:r>
        <w:rPr>
          <w:rFonts w:hint="eastAsia" w:ascii="仿宋" w:hAnsi="仿宋" w:eastAsia="仿宋" w:cs="仿宋"/>
          <w:i w:val="0"/>
          <w:caps w:val="0"/>
          <w:color w:val="auto"/>
          <w:spacing w:val="0"/>
          <w:kern w:val="0"/>
          <w:sz w:val="32"/>
          <w:szCs w:val="32"/>
          <w:shd w:val="clear" w:fill="FFFFFF"/>
          <w:lang w:val="en-US" w:eastAsia="zh-CN" w:bidi="ar"/>
        </w:rPr>
        <w:t>2023年</w:t>
      </w:r>
      <w:r>
        <w:rPr>
          <w:rFonts w:hint="eastAsia" w:ascii="仿宋" w:hAnsi="仿宋" w:eastAsia="仿宋" w:cs="仿宋"/>
          <w:i w:val="0"/>
          <w:caps w:val="0"/>
          <w:color w:val="auto"/>
          <w:spacing w:val="0"/>
          <w:kern w:val="0"/>
          <w:sz w:val="32"/>
          <w:szCs w:val="32"/>
          <w:u w:val="single"/>
          <w:shd w:val="clear" w:fill="FFFFFF"/>
          <w:lang w:val="en-US" w:eastAsia="zh-CN" w:bidi="ar"/>
        </w:rPr>
        <w:t>8</w:t>
      </w:r>
      <w:r>
        <w:rPr>
          <w:rFonts w:hint="eastAsia" w:ascii="仿宋" w:hAnsi="仿宋" w:eastAsia="仿宋" w:cs="仿宋"/>
          <w:i w:val="0"/>
          <w:caps w:val="0"/>
          <w:color w:val="auto"/>
          <w:spacing w:val="0"/>
          <w:kern w:val="0"/>
          <w:sz w:val="32"/>
          <w:szCs w:val="32"/>
          <w:shd w:val="clear" w:fill="FFFFFF"/>
          <w:lang w:val="en-US" w:eastAsia="zh-CN" w:bidi="ar"/>
        </w:rPr>
        <w:t>月</w:t>
      </w:r>
      <w:r>
        <w:rPr>
          <w:rFonts w:hint="eastAsia" w:ascii="仿宋" w:hAnsi="仿宋" w:eastAsia="仿宋" w:cs="仿宋"/>
          <w:i w:val="0"/>
          <w:caps w:val="0"/>
          <w:color w:val="auto"/>
          <w:spacing w:val="0"/>
          <w:kern w:val="0"/>
          <w:sz w:val="32"/>
          <w:szCs w:val="32"/>
          <w:u w:val="single"/>
          <w:shd w:val="clear" w:fill="FFFFFF"/>
          <w:lang w:val="en-US" w:eastAsia="zh-CN" w:bidi="ar"/>
        </w:rPr>
        <w:t>31</w:t>
      </w:r>
      <w:bookmarkStart w:id="0" w:name="_GoBack"/>
      <w:bookmarkEnd w:id="0"/>
      <w:r>
        <w:rPr>
          <w:rFonts w:hint="eastAsia" w:ascii="仿宋" w:hAnsi="仿宋" w:eastAsia="仿宋" w:cs="仿宋"/>
          <w:i w:val="0"/>
          <w:caps w:val="0"/>
          <w:color w:val="auto"/>
          <w:spacing w:val="0"/>
          <w:kern w:val="0"/>
          <w:sz w:val="32"/>
          <w:szCs w:val="32"/>
          <w:shd w:val="clear" w:fill="FFFFFF"/>
          <w:lang w:val="en-US" w:eastAsia="zh-CN" w:bidi="ar"/>
        </w:rPr>
        <w:t>日</w:t>
      </w:r>
    </w:p>
    <w:sectPr>
      <w:footerReference r:id="rId3" w:type="default"/>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2C9E9"/>
    <w:multiLevelType w:val="singleLevel"/>
    <w:tmpl w:val="8FB2C9E9"/>
    <w:lvl w:ilvl="0" w:tentative="0">
      <w:start w:val="2"/>
      <w:numFmt w:val="chineseCounting"/>
      <w:suff w:val="nothing"/>
      <w:lvlText w:val="%1、"/>
      <w:lvlJc w:val="left"/>
      <w:rPr>
        <w:rFonts w:hint="eastAsia"/>
      </w:rPr>
    </w:lvl>
  </w:abstractNum>
  <w:abstractNum w:abstractNumId="1">
    <w:nsid w:val="C7232FFD"/>
    <w:multiLevelType w:val="singleLevel"/>
    <w:tmpl w:val="C7232FFD"/>
    <w:lvl w:ilvl="0" w:tentative="0">
      <w:start w:val="1"/>
      <w:numFmt w:val="decimal"/>
      <w:suff w:val="nothing"/>
      <w:lvlText w:val="（%1）"/>
      <w:lvlJc w:val="left"/>
    </w:lvl>
  </w:abstractNum>
  <w:abstractNum w:abstractNumId="2">
    <w:nsid w:val="CDC121BC"/>
    <w:multiLevelType w:val="singleLevel"/>
    <w:tmpl w:val="CDC121BC"/>
    <w:lvl w:ilvl="0" w:tentative="0">
      <w:start w:val="1"/>
      <w:numFmt w:val="decimal"/>
      <w:suff w:val="nothing"/>
      <w:lvlText w:val="（%1）"/>
      <w:lvlJc w:val="left"/>
    </w:lvl>
  </w:abstractNum>
  <w:abstractNum w:abstractNumId="3">
    <w:nsid w:val="40B74461"/>
    <w:multiLevelType w:val="singleLevel"/>
    <w:tmpl w:val="40B74461"/>
    <w:lvl w:ilvl="0" w:tentative="0">
      <w:start w:val="1"/>
      <w:numFmt w:val="decimal"/>
      <w:suff w:val="nothing"/>
      <w:lvlText w:val="（%1）"/>
      <w:lvlJc w:val="left"/>
    </w:lvl>
  </w:abstractNum>
  <w:abstractNum w:abstractNumId="4">
    <w:nsid w:val="46C6937E"/>
    <w:multiLevelType w:val="singleLevel"/>
    <w:tmpl w:val="46C6937E"/>
    <w:lvl w:ilvl="0" w:tentative="0">
      <w:start w:val="3"/>
      <w:numFmt w:val="decimal"/>
      <w:suff w:val="nothing"/>
      <w:lvlText w:val="（%1）"/>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A1856"/>
    <w:rsid w:val="00167F80"/>
    <w:rsid w:val="0044473B"/>
    <w:rsid w:val="020821B7"/>
    <w:rsid w:val="02397023"/>
    <w:rsid w:val="02D915A6"/>
    <w:rsid w:val="032C0D18"/>
    <w:rsid w:val="03F61BC2"/>
    <w:rsid w:val="04A37E1D"/>
    <w:rsid w:val="052E19DC"/>
    <w:rsid w:val="06064F3A"/>
    <w:rsid w:val="067F2E52"/>
    <w:rsid w:val="07555CBA"/>
    <w:rsid w:val="07822516"/>
    <w:rsid w:val="080F79B6"/>
    <w:rsid w:val="0A233F5D"/>
    <w:rsid w:val="0BDB23BC"/>
    <w:rsid w:val="0C1419A4"/>
    <w:rsid w:val="0CC94F3D"/>
    <w:rsid w:val="0D4D4E95"/>
    <w:rsid w:val="0D8C597B"/>
    <w:rsid w:val="0E696F2F"/>
    <w:rsid w:val="0EE16CB7"/>
    <w:rsid w:val="10261640"/>
    <w:rsid w:val="114D312D"/>
    <w:rsid w:val="11C561A8"/>
    <w:rsid w:val="11EC501A"/>
    <w:rsid w:val="11F94277"/>
    <w:rsid w:val="12276AAE"/>
    <w:rsid w:val="12BA280C"/>
    <w:rsid w:val="12FE1C09"/>
    <w:rsid w:val="13010776"/>
    <w:rsid w:val="141E227D"/>
    <w:rsid w:val="154460AB"/>
    <w:rsid w:val="15CC5FA5"/>
    <w:rsid w:val="16C62D4F"/>
    <w:rsid w:val="16EA55D1"/>
    <w:rsid w:val="173C423D"/>
    <w:rsid w:val="17442327"/>
    <w:rsid w:val="17B53D5A"/>
    <w:rsid w:val="19A13157"/>
    <w:rsid w:val="1AB067B9"/>
    <w:rsid w:val="1AC2126C"/>
    <w:rsid w:val="1B8F24C8"/>
    <w:rsid w:val="1BA33C81"/>
    <w:rsid w:val="1BF56550"/>
    <w:rsid w:val="1C4B7CD2"/>
    <w:rsid w:val="1CC7558E"/>
    <w:rsid w:val="1D4C6596"/>
    <w:rsid w:val="1DFE1E30"/>
    <w:rsid w:val="1E281B6C"/>
    <w:rsid w:val="206A6D84"/>
    <w:rsid w:val="21F22BD3"/>
    <w:rsid w:val="22306203"/>
    <w:rsid w:val="236E2F5C"/>
    <w:rsid w:val="236F3A46"/>
    <w:rsid w:val="23B3447F"/>
    <w:rsid w:val="23F14E45"/>
    <w:rsid w:val="266B50AC"/>
    <w:rsid w:val="26F72AD5"/>
    <w:rsid w:val="27C328F5"/>
    <w:rsid w:val="27EB09AF"/>
    <w:rsid w:val="28A77429"/>
    <w:rsid w:val="2A8B792B"/>
    <w:rsid w:val="2A9501F1"/>
    <w:rsid w:val="2AE23B56"/>
    <w:rsid w:val="2C245D1F"/>
    <w:rsid w:val="2C84167C"/>
    <w:rsid w:val="2C8C4DEC"/>
    <w:rsid w:val="2CEE305C"/>
    <w:rsid w:val="2EB44017"/>
    <w:rsid w:val="2F9D3874"/>
    <w:rsid w:val="2FD75D28"/>
    <w:rsid w:val="30316E4E"/>
    <w:rsid w:val="305F6598"/>
    <w:rsid w:val="30EB187C"/>
    <w:rsid w:val="31247D1C"/>
    <w:rsid w:val="32426B3A"/>
    <w:rsid w:val="32521F42"/>
    <w:rsid w:val="32965C8D"/>
    <w:rsid w:val="32B55839"/>
    <w:rsid w:val="337346D6"/>
    <w:rsid w:val="337D14FE"/>
    <w:rsid w:val="342630CC"/>
    <w:rsid w:val="34D20040"/>
    <w:rsid w:val="35CC15F2"/>
    <w:rsid w:val="3865300D"/>
    <w:rsid w:val="387265A8"/>
    <w:rsid w:val="38AB0FD9"/>
    <w:rsid w:val="395E5EAF"/>
    <w:rsid w:val="39674126"/>
    <w:rsid w:val="39B142F1"/>
    <w:rsid w:val="3ACB303A"/>
    <w:rsid w:val="3AF77E53"/>
    <w:rsid w:val="3C2A39BF"/>
    <w:rsid w:val="3C894E53"/>
    <w:rsid w:val="3D571EB9"/>
    <w:rsid w:val="3E1B7412"/>
    <w:rsid w:val="3E4069B7"/>
    <w:rsid w:val="3E947E42"/>
    <w:rsid w:val="3FC92DDE"/>
    <w:rsid w:val="3FCA185C"/>
    <w:rsid w:val="41BE4FD9"/>
    <w:rsid w:val="41EF3770"/>
    <w:rsid w:val="42120B45"/>
    <w:rsid w:val="430E1536"/>
    <w:rsid w:val="431D1EF5"/>
    <w:rsid w:val="444A0335"/>
    <w:rsid w:val="44794409"/>
    <w:rsid w:val="45610C74"/>
    <w:rsid w:val="466E5059"/>
    <w:rsid w:val="46D508EA"/>
    <w:rsid w:val="471B7929"/>
    <w:rsid w:val="48C24827"/>
    <w:rsid w:val="490421EF"/>
    <w:rsid w:val="498E5081"/>
    <w:rsid w:val="4A1A5A49"/>
    <w:rsid w:val="4B603ABA"/>
    <w:rsid w:val="4BA64583"/>
    <w:rsid w:val="4BCE24E6"/>
    <w:rsid w:val="4C781DF5"/>
    <w:rsid w:val="4DEA2888"/>
    <w:rsid w:val="4EC37115"/>
    <w:rsid w:val="4EDA7CA9"/>
    <w:rsid w:val="4F034F9B"/>
    <w:rsid w:val="4FB16109"/>
    <w:rsid w:val="4FE87E91"/>
    <w:rsid w:val="507F2B0C"/>
    <w:rsid w:val="512A34C3"/>
    <w:rsid w:val="51356F8E"/>
    <w:rsid w:val="51624639"/>
    <w:rsid w:val="52BE30DA"/>
    <w:rsid w:val="53490BD5"/>
    <w:rsid w:val="555A09C1"/>
    <w:rsid w:val="585D4AA0"/>
    <w:rsid w:val="58B63ABF"/>
    <w:rsid w:val="58FD7697"/>
    <w:rsid w:val="590C0914"/>
    <w:rsid w:val="59CE4268"/>
    <w:rsid w:val="5AB45348"/>
    <w:rsid w:val="5B2E443D"/>
    <w:rsid w:val="5B6B5086"/>
    <w:rsid w:val="5B865C9C"/>
    <w:rsid w:val="5CAE6B54"/>
    <w:rsid w:val="5D033CD0"/>
    <w:rsid w:val="5D15773E"/>
    <w:rsid w:val="5D631898"/>
    <w:rsid w:val="5D8C2F96"/>
    <w:rsid w:val="5E372B3A"/>
    <w:rsid w:val="5F0457C3"/>
    <w:rsid w:val="601B633F"/>
    <w:rsid w:val="604F2C80"/>
    <w:rsid w:val="60592243"/>
    <w:rsid w:val="629F54E2"/>
    <w:rsid w:val="63966723"/>
    <w:rsid w:val="651A3835"/>
    <w:rsid w:val="65FB6AE3"/>
    <w:rsid w:val="662D529B"/>
    <w:rsid w:val="664F1D0E"/>
    <w:rsid w:val="66A056F9"/>
    <w:rsid w:val="66B221D9"/>
    <w:rsid w:val="66CF7286"/>
    <w:rsid w:val="6735153E"/>
    <w:rsid w:val="67CE3EE7"/>
    <w:rsid w:val="684B7D28"/>
    <w:rsid w:val="689E6895"/>
    <w:rsid w:val="69631C1A"/>
    <w:rsid w:val="69A421AA"/>
    <w:rsid w:val="6A810AD4"/>
    <w:rsid w:val="6AA3337A"/>
    <w:rsid w:val="6B4A249D"/>
    <w:rsid w:val="6B9F7D7F"/>
    <w:rsid w:val="6BAB0363"/>
    <w:rsid w:val="6BB149C4"/>
    <w:rsid w:val="6BB669E3"/>
    <w:rsid w:val="6BC749DB"/>
    <w:rsid w:val="6DD209D9"/>
    <w:rsid w:val="6F21758B"/>
    <w:rsid w:val="6FA852CD"/>
    <w:rsid w:val="6FDA3E4B"/>
    <w:rsid w:val="70570117"/>
    <w:rsid w:val="722A09AF"/>
    <w:rsid w:val="73154468"/>
    <w:rsid w:val="73DF1DEE"/>
    <w:rsid w:val="745747C5"/>
    <w:rsid w:val="74BB1EEF"/>
    <w:rsid w:val="75BA7797"/>
    <w:rsid w:val="76506959"/>
    <w:rsid w:val="765E0AA7"/>
    <w:rsid w:val="76945A38"/>
    <w:rsid w:val="76FA1856"/>
    <w:rsid w:val="770D613D"/>
    <w:rsid w:val="786B782A"/>
    <w:rsid w:val="7A0540BD"/>
    <w:rsid w:val="7A480275"/>
    <w:rsid w:val="7A815F94"/>
    <w:rsid w:val="7AB22552"/>
    <w:rsid w:val="7B015F0F"/>
    <w:rsid w:val="7B82527E"/>
    <w:rsid w:val="7BF83E01"/>
    <w:rsid w:val="7C2C2E5F"/>
    <w:rsid w:val="7CDF4E94"/>
    <w:rsid w:val="7D4846DA"/>
    <w:rsid w:val="7E6E6A88"/>
    <w:rsid w:val="7E8B5E16"/>
    <w:rsid w:val="7F8F1FF9"/>
    <w:rsid w:val="7FC26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8</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2023-07-27T02:55:00Z</dcterms:created>
  <dc:creator>何坤锋</dc:creator>
  <cp:lastModifiedBy>陈志</cp:lastModifiedBy>
  <cp:lastPrinted>2023-08-29T00:56:00Z</cp:lastPrinted>
  <dcterms:modified xsi:type="dcterms:W3CDTF">2023-08-31T06:38:34Z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