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2023067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罪犯伙房部分设备</w:t>
      </w:r>
      <w:r>
        <w:rPr>
          <w:rFonts w:hint="eastAsia" w:asciiTheme="minorEastAsia" w:hAnsiTheme="minorEastAsia" w:eastAsiaTheme="minorEastAsia" w:cstheme="minorEastAsia"/>
          <w:sz w:val="32"/>
          <w:szCs w:val="32"/>
          <w:u w:val="single"/>
          <w:lang w:val="en-US" w:eastAsia="zh-CN"/>
        </w:rPr>
        <w:t xml:space="preserve">采购项目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采购人</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0"/>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11</w:t>
      </w:r>
      <w:r>
        <w:rPr>
          <w:rFonts w:hint="eastAsia"/>
          <w:sz w:val="32"/>
          <w:szCs w:val="32"/>
        </w:rPr>
        <w:t>月</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7"/>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9</w:t>
      </w:r>
    </w:p>
    <w:p>
      <w:pPr>
        <w:rPr>
          <w:rFonts w:hint="eastAsia"/>
        </w:rPr>
      </w:pPr>
    </w:p>
    <w:p>
      <w:pPr>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2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5"/>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5"/>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pStyle w:val="2"/>
        <w:widowControl w:val="0"/>
        <w:numPr>
          <w:ilvl w:val="0"/>
          <w:numId w:val="0"/>
        </w:numPr>
        <w:spacing w:before="25" w:after="25"/>
        <w:jc w:val="left"/>
        <w:rPr>
          <w:rFonts w:hint="eastAsia"/>
        </w:rPr>
      </w:pP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一、项目概况</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采购人根据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日常</w:t>
      </w:r>
      <w:r>
        <w:rPr>
          <w:rFonts w:hint="eastAsia" w:asciiTheme="minorEastAsia" w:hAnsiTheme="minorEastAsia" w:cstheme="minorEastAsia"/>
          <w:color w:val="000000" w:themeColor="text1"/>
          <w:sz w:val="21"/>
          <w:szCs w:val="21"/>
          <w:lang w:val="en-US" w:eastAsia="zh-CN"/>
          <w14:textFill>
            <w14:solidFill>
              <w14:schemeClr w14:val="tx1"/>
            </w14:solidFill>
          </w14:textFill>
        </w:rPr>
        <w:t>管理需要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拟采购</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保温饭菜桶拖车架2个</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高压清洗机2台（黑猫圣将神牛1，2.2KW,220V，标配款）</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1台和面机（恒联牌，型号HS130S）</w:t>
      </w:r>
      <w:r>
        <w:rPr>
          <w:rFonts w:hint="eastAsia" w:asciiTheme="minorEastAsia" w:hAnsiTheme="minorEastAsia" w:cstheme="minorEastAsia"/>
          <w:color w:val="000000" w:themeColor="text1"/>
          <w:sz w:val="21"/>
          <w:szCs w:val="21"/>
          <w:lang w:val="en-US" w:eastAsia="zh-CN"/>
          <w14:textFill>
            <w14:solidFill>
              <w14:schemeClr w14:val="tx1"/>
            </w14:solidFill>
          </w14:textFill>
        </w:rPr>
        <w:t>等设备</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二、预算金额</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人民币92670.00</w:t>
      </w:r>
      <w:r>
        <w:rPr>
          <w:rFonts w:hint="eastAsia" w:asciiTheme="minorEastAsia" w:hAnsiTheme="minorEastAsia" w:eastAsiaTheme="minorEastAsia" w:cstheme="minorEastAsia"/>
          <w:color w:val="000000" w:themeColor="text1"/>
          <w:sz w:val="21"/>
          <w:szCs w:val="21"/>
          <w14:textFill>
            <w14:solidFill>
              <w14:schemeClr w14:val="tx1"/>
            </w14:solidFill>
          </w14:textFill>
        </w:rPr>
        <w:t>元</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numPr>
          <w:ilvl w:val="0"/>
          <w:numId w:val="2"/>
        </w:numPr>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标的数量及</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技术规格</w:t>
      </w:r>
    </w:p>
    <w:p>
      <w:pPr>
        <w:pStyle w:val="2"/>
        <w:keepNext w:val="0"/>
        <w:keepLines w:val="0"/>
        <w:pageBreakBefore w:val="0"/>
        <w:widowControl w:val="0"/>
        <w:numPr>
          <w:ilvl w:val="0"/>
          <w:numId w:val="0"/>
        </w:numPr>
        <w:kinsoku/>
        <w:wordWrap/>
        <w:overflowPunct/>
        <w:topLinePunct w:val="0"/>
        <w:autoSpaceDE/>
        <w:autoSpaceDN/>
        <w:bidi w:val="0"/>
        <w:adjustRightInd/>
        <w:spacing w:line="340" w:lineRule="atLeast"/>
        <w:textAlignment w:val="auto"/>
        <w:outlineLvl w:val="9"/>
        <w:rPr>
          <w:rFonts w:hint="eastAsia"/>
          <w:lang w:val="en-US" w:eastAsia="zh-CN"/>
        </w:rPr>
      </w:pPr>
    </w:p>
    <w:tbl>
      <w:tblPr>
        <w:tblStyle w:val="18"/>
        <w:tblW w:w="9080" w:type="dxa"/>
        <w:tblInd w:w="0" w:type="dxa"/>
        <w:shd w:val="clear" w:color="auto" w:fill="auto"/>
        <w:tblLayout w:type="fixed"/>
        <w:tblCellMar>
          <w:top w:w="0" w:type="dxa"/>
          <w:left w:w="0" w:type="dxa"/>
          <w:bottom w:w="0" w:type="dxa"/>
          <w:right w:w="0" w:type="dxa"/>
        </w:tblCellMar>
      </w:tblPr>
      <w:tblGrid>
        <w:gridCol w:w="557"/>
        <w:gridCol w:w="475"/>
        <w:gridCol w:w="620"/>
        <w:gridCol w:w="3142"/>
        <w:gridCol w:w="699"/>
        <w:gridCol w:w="963"/>
        <w:gridCol w:w="2624"/>
      </w:tblGrid>
      <w:tr>
        <w:tblPrEx>
          <w:shd w:val="clear" w:color="auto" w:fill="auto"/>
          <w:tblLayout w:type="fixed"/>
          <w:tblCellMar>
            <w:top w:w="0" w:type="dxa"/>
            <w:left w:w="0" w:type="dxa"/>
            <w:bottom w:w="0" w:type="dxa"/>
            <w:right w:w="0" w:type="dxa"/>
          </w:tblCellMar>
        </w:tblPrEx>
        <w:trPr>
          <w:trHeight w:val="1624"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序号</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名称</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单位</w:t>
            </w:r>
          </w:p>
        </w:tc>
        <w:tc>
          <w:tcPr>
            <w:tcW w:w="3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规格参数</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单价</w:t>
            </w: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限价</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（元）</w:t>
            </w:r>
          </w:p>
        </w:tc>
        <w:tc>
          <w:tcPr>
            <w:tcW w:w="2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备注（样图）</w:t>
            </w:r>
          </w:p>
        </w:tc>
      </w:tr>
      <w:tr>
        <w:tblPrEx>
          <w:shd w:val="clear" w:color="auto" w:fill="auto"/>
          <w:tblLayout w:type="fixed"/>
          <w:tblCellMar>
            <w:top w:w="0" w:type="dxa"/>
            <w:left w:w="0" w:type="dxa"/>
            <w:bottom w:w="0" w:type="dxa"/>
            <w:right w:w="0" w:type="dxa"/>
          </w:tblCellMar>
        </w:tblPrEx>
        <w:trPr>
          <w:trHeight w:val="90"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保温饭菜桶拖车架</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台</w:t>
            </w:r>
            <w:bookmarkStart w:id="0" w:name="_GoBack"/>
            <w:bookmarkEnd w:id="0"/>
          </w:p>
        </w:tc>
        <w:tc>
          <w:tcPr>
            <w:tcW w:w="3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both"/>
              <w:textAlignment w:val="auto"/>
              <w:outlineLvl w:val="9"/>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车架采用80*40*3.0MM厚国标A3方管焊接而成</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经</w:t>
            </w:r>
            <w:r>
              <w:rPr>
                <w:rFonts w:hint="eastAsia" w:asciiTheme="minorEastAsia" w:hAnsi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层防锈处理，更加牢固耐用，304不锈钢围边。碳素钢3T滚珠转盘式回转总成，转弯灵活，可左右回转角度为180度，大回转角度便于小半径转向。配用4个18英寸×8.50英寸-8真空轮胎，真空子午线8层级轮胎，轴头双轴承装配，单轮承重400KG,额定速度达到20KG/H，配刹车装置，车架分8个格，每格内尺寸约800mm×600mm；车架底座外形尺寸：大于或等于3800mm×1500mm；车架外形尺寸：大于或等于3380mm×1300mm×525mm。</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26555.00</w:t>
            </w:r>
          </w:p>
        </w:tc>
        <w:tc>
          <w:tcPr>
            <w:tcW w:w="2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drawing>
                <wp:inline distT="0" distB="0" distL="114300" distR="114300">
                  <wp:extent cx="1380490" cy="2934335"/>
                  <wp:effectExtent l="0" t="0" r="10160" b="18415"/>
                  <wp:docPr id="3" name="图片 3" descr="微信图片_2023111014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110144246"/>
                          <pic:cNvPicPr>
                            <a:picLocks noChangeAspect="1"/>
                          </pic:cNvPicPr>
                        </pic:nvPicPr>
                        <pic:blipFill>
                          <a:blip r:embed="rId5"/>
                          <a:stretch>
                            <a:fillRect/>
                          </a:stretch>
                        </pic:blipFill>
                        <pic:spPr>
                          <a:xfrm>
                            <a:off x="0" y="0"/>
                            <a:ext cx="1380490" cy="2934335"/>
                          </a:xfrm>
                          <a:prstGeom prst="rect">
                            <a:avLst/>
                          </a:prstGeom>
                        </pic:spPr>
                      </pic:pic>
                    </a:graphicData>
                  </a:graphic>
                </wp:inline>
              </w:drawing>
            </w:r>
          </w:p>
        </w:tc>
      </w:tr>
      <w:tr>
        <w:tblPrEx>
          <w:shd w:val="clear" w:color="auto" w:fill="auto"/>
          <w:tblLayout w:type="fixed"/>
          <w:tblCellMar>
            <w:top w:w="0" w:type="dxa"/>
            <w:left w:w="0" w:type="dxa"/>
            <w:bottom w:w="0" w:type="dxa"/>
            <w:right w:w="0" w:type="dxa"/>
          </w:tblCellMar>
        </w:tblPrEx>
        <w:trPr>
          <w:trHeight w:val="24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0" w:firstLineChars="100"/>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和面机</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3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恒联牌，HS130S计时款/380V/130L/50KG</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default"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33840.00</w:t>
            </w:r>
          </w:p>
        </w:tc>
        <w:tc>
          <w:tcPr>
            <w:tcW w:w="2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drawing>
                <wp:anchor distT="0" distB="0" distL="114300" distR="114300" simplePos="0" relativeHeight="251654144" behindDoc="0" locked="0" layoutInCell="1" allowOverlap="1">
                  <wp:simplePos x="0" y="0"/>
                  <wp:positionH relativeFrom="column">
                    <wp:posOffset>-8255</wp:posOffset>
                  </wp:positionH>
                  <wp:positionV relativeFrom="paragraph">
                    <wp:posOffset>281305</wp:posOffset>
                  </wp:positionV>
                  <wp:extent cx="1645920" cy="1648460"/>
                  <wp:effectExtent l="0" t="0" r="11430" b="8890"/>
                  <wp:wrapTopAndBottom/>
                  <wp:docPr id="11" name="图片 11" descr="微信图片_2023111014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31110144240"/>
                          <pic:cNvPicPr>
                            <a:picLocks noChangeAspect="1"/>
                          </pic:cNvPicPr>
                        </pic:nvPicPr>
                        <pic:blipFill>
                          <a:blip r:embed="rId6"/>
                          <a:stretch>
                            <a:fillRect/>
                          </a:stretch>
                        </pic:blipFill>
                        <pic:spPr>
                          <a:xfrm>
                            <a:off x="0" y="0"/>
                            <a:ext cx="1645920" cy="1648460"/>
                          </a:xfrm>
                          <a:prstGeom prst="rect">
                            <a:avLst/>
                          </a:prstGeom>
                        </pic:spPr>
                      </pic:pic>
                    </a:graphicData>
                  </a:graphic>
                </wp:anchor>
              </w:drawing>
            </w:r>
          </w:p>
        </w:tc>
      </w:tr>
      <w:tr>
        <w:tblPrEx>
          <w:shd w:val="clear" w:color="auto" w:fill="auto"/>
          <w:tblLayout w:type="fixed"/>
          <w:tblCellMar>
            <w:top w:w="0" w:type="dxa"/>
            <w:left w:w="0" w:type="dxa"/>
            <w:bottom w:w="0" w:type="dxa"/>
            <w:right w:w="0" w:type="dxa"/>
          </w:tblCellMar>
        </w:tblPrEx>
        <w:trPr>
          <w:trHeight w:val="3264"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firstLine="210" w:firstLineChars="100"/>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高压清洗机</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台</w:t>
            </w:r>
          </w:p>
        </w:tc>
        <w:tc>
          <w:tcPr>
            <w:tcW w:w="3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黑猫圣将神牛1（2.2KW,220V）标配款</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jc w:val="center"/>
              <w:textAlignment w:val="auto"/>
              <w:outlineLvl w:val="9"/>
              <w:rPr>
                <w:rFonts w:hint="default"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2860.00</w:t>
            </w:r>
          </w:p>
        </w:tc>
        <w:tc>
          <w:tcPr>
            <w:tcW w:w="2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eastAsiaTheme="minorEastAsia"/>
                <w:lang w:eastAsia="zh-CN"/>
              </w:rPr>
              <w:drawing>
                <wp:anchor distT="0" distB="0" distL="114300" distR="114300" simplePos="0" relativeHeight="251653120" behindDoc="0" locked="0" layoutInCell="1" allowOverlap="1">
                  <wp:simplePos x="0" y="0"/>
                  <wp:positionH relativeFrom="column">
                    <wp:posOffset>102235</wp:posOffset>
                  </wp:positionH>
                  <wp:positionV relativeFrom="paragraph">
                    <wp:posOffset>281305</wp:posOffset>
                  </wp:positionV>
                  <wp:extent cx="1408430" cy="1438910"/>
                  <wp:effectExtent l="0" t="0" r="1270" b="8890"/>
                  <wp:wrapTopAndBottom/>
                  <wp:docPr id="10" name="图片 10" descr="微信图片_2023111014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31110144232"/>
                          <pic:cNvPicPr>
                            <a:picLocks noChangeAspect="1"/>
                          </pic:cNvPicPr>
                        </pic:nvPicPr>
                        <pic:blipFill>
                          <a:blip r:embed="rId7"/>
                          <a:stretch>
                            <a:fillRect/>
                          </a:stretch>
                        </pic:blipFill>
                        <pic:spPr>
                          <a:xfrm>
                            <a:off x="0" y="0"/>
                            <a:ext cx="1408430" cy="1438910"/>
                          </a:xfrm>
                          <a:prstGeom prst="rect">
                            <a:avLst/>
                          </a:prstGeom>
                        </pic:spPr>
                      </pic:pic>
                    </a:graphicData>
                  </a:graphic>
                </wp:anchor>
              </w:drawing>
            </w:r>
          </w:p>
        </w:tc>
      </w:tr>
      <w:tr>
        <w:tblPrEx>
          <w:shd w:val="clear" w:color="auto" w:fill="auto"/>
          <w:tblLayout w:type="fixed"/>
          <w:tblCellMar>
            <w:top w:w="0" w:type="dxa"/>
            <w:left w:w="0" w:type="dxa"/>
            <w:bottom w:w="0" w:type="dxa"/>
            <w:right w:w="0" w:type="dxa"/>
          </w:tblCellMar>
        </w:tblPrEx>
        <w:trPr>
          <w:trHeight w:val="1015" w:hRule="atLeast"/>
        </w:trPr>
        <w:tc>
          <w:tcPr>
            <w:tcW w:w="645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合计</w:t>
            </w:r>
          </w:p>
        </w:tc>
        <w:tc>
          <w:tcPr>
            <w:tcW w:w="2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0" w:firstLineChars="200"/>
              <w:jc w:val="center"/>
              <w:textAlignment w:val="auto"/>
              <w:outlineLvl w:val="9"/>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92670.00</w:t>
            </w:r>
          </w:p>
        </w:tc>
      </w:tr>
    </w:tbl>
    <w:p>
      <w:pPr>
        <w:keepNext w:val="0"/>
        <w:keepLines w:val="0"/>
        <w:pageBreakBefore w:val="0"/>
        <w:widowControl w:val="0"/>
        <w:kinsoku/>
        <w:wordWrap/>
        <w:overflowPunct/>
        <w:topLinePunct w:val="0"/>
        <w:autoSpaceDE/>
        <w:autoSpaceDN/>
        <w:bidi w:val="0"/>
        <w:adjustRightInd/>
        <w:snapToGrid w:val="0"/>
        <w:spacing w:line="340" w:lineRule="atLeast"/>
        <w:ind w:left="11" w:leftChars="0" w:firstLine="422" w:firstLineChars="200"/>
        <w:textAlignment w:val="auto"/>
        <w:outlineLvl w:val="9"/>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四、服务标准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供应商供应的产品</w:t>
      </w:r>
      <w:r>
        <w:rPr>
          <w:rFonts w:hint="eastAsia" w:asciiTheme="minorEastAsia" w:hAnsiTheme="minorEastAsia" w:eastAsiaTheme="minorEastAsia" w:cstheme="minorEastAsia"/>
          <w:color w:val="000000" w:themeColor="text1"/>
          <w:sz w:val="21"/>
          <w:szCs w:val="21"/>
          <w14:textFill>
            <w14:solidFill>
              <w14:schemeClr w14:val="tx1"/>
            </w14:solidFill>
          </w14:textFill>
        </w:rPr>
        <w:t>整机无污染，无侵权行为、表面无划损、无任何缺陷隐患，可依常规安全合法使用。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其中非定制类产品必须具备出厂合格证，</w:t>
      </w:r>
      <w:r>
        <w:rPr>
          <w:rFonts w:hint="eastAsia" w:asciiTheme="minorEastAsia" w:hAnsiTheme="minorEastAsia" w:eastAsiaTheme="minorEastAsia" w:cstheme="minorEastAsia"/>
          <w:color w:val="000000" w:themeColor="text1"/>
          <w:sz w:val="21"/>
          <w:szCs w:val="21"/>
          <w14:textFill>
            <w14:solidFill>
              <w14:schemeClr w14:val="tx1"/>
            </w14:solidFill>
          </w14:textFill>
        </w:rPr>
        <w:t>设备为原制造商制造的全新产品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符合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相关</w:t>
      </w:r>
      <w:r>
        <w:rPr>
          <w:rFonts w:hint="eastAsia" w:asciiTheme="minorEastAsia" w:hAnsiTheme="minorEastAsia" w:eastAsiaTheme="minorEastAsia" w:cstheme="minorEastAsia"/>
          <w:color w:val="000000" w:themeColor="text1"/>
          <w:sz w:val="21"/>
          <w:szCs w:val="21"/>
          <w14:textFill>
            <w14:solidFill>
              <w14:schemeClr w14:val="tx1"/>
            </w14:solidFill>
          </w14:textFill>
        </w:rPr>
        <w:t>政府</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部门</w:t>
      </w:r>
      <w:r>
        <w:rPr>
          <w:rFonts w:hint="eastAsia" w:asciiTheme="minorEastAsia" w:hAnsiTheme="minorEastAsia" w:eastAsiaTheme="minorEastAsia" w:cstheme="minorEastAsia"/>
          <w:color w:val="000000" w:themeColor="text1"/>
          <w:sz w:val="21"/>
          <w:szCs w:val="21"/>
          <w14:textFill>
            <w14:solidFill>
              <w14:schemeClr w14:val="tx1"/>
            </w14:solidFill>
          </w14:textFill>
        </w:rPr>
        <w:t>颁布的产品、质量、技术、安全标准及环保标准及产品出厂标准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定制类产品应符合规格参数型号，</w:t>
      </w:r>
      <w:r>
        <w:rPr>
          <w:rFonts w:hint="eastAsia" w:asciiTheme="minorEastAsia" w:hAnsiTheme="minorEastAsia" w:eastAsiaTheme="minorEastAsia" w:cstheme="minorEastAsia"/>
          <w:color w:val="000000" w:themeColor="text1"/>
          <w:sz w:val="21"/>
          <w:szCs w:val="21"/>
          <w14:textFill>
            <w14:solidFill>
              <w14:schemeClr w14:val="tx1"/>
            </w14:solidFill>
          </w14:textFill>
        </w:rPr>
        <w:t>技术先进、性能优良、结构紧凑、</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使用方便、</w:t>
      </w:r>
      <w:r>
        <w:rPr>
          <w:rFonts w:hint="eastAsia" w:asciiTheme="minorEastAsia" w:hAnsiTheme="minorEastAsia" w:eastAsiaTheme="minorEastAsia" w:cstheme="minorEastAsia"/>
          <w:color w:val="000000" w:themeColor="text1"/>
          <w:sz w:val="21"/>
          <w:szCs w:val="21"/>
          <w14:textFill>
            <w14:solidFill>
              <w14:schemeClr w14:val="tx1"/>
            </w14:solidFill>
          </w14:textFill>
        </w:rPr>
        <w:t>便于安装和维护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设备在正确安装后，能确保在正常的使用过程中安全、可靠，并达到有关规定的要求。</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所有设备包安装调试。供应商的总报价必须包括货物及配件提供、</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搬运、税费等费用，正确安装后负责调试。</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负责</w:t>
      </w:r>
      <w:r>
        <w:rPr>
          <w:rFonts w:hint="eastAsia" w:asciiTheme="minorEastAsia" w:hAnsiTheme="minorEastAsia" w:eastAsiaTheme="minorEastAsia" w:cstheme="minorEastAsia"/>
          <w:color w:val="000000" w:themeColor="text1"/>
          <w:sz w:val="21"/>
          <w:szCs w:val="21"/>
          <w14:textFill>
            <w14:solidFill>
              <w14:schemeClr w14:val="tx1"/>
            </w14:solidFill>
          </w14:textFill>
        </w:rPr>
        <w:t>培训</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教学。</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供应商须根据采购人要求派遣有经验的工程师，对采购人有关人员进行</w:t>
      </w:r>
      <w:r>
        <w:rPr>
          <w:rFonts w:hint="eastAsia" w:asciiTheme="minorEastAsia" w:hAnsiTheme="minorEastAsia" w:cstheme="minorEastAsia"/>
          <w:color w:val="000000" w:themeColor="text1"/>
          <w:sz w:val="21"/>
          <w:szCs w:val="21"/>
          <w:lang w:val="en-US" w:eastAsia="zh-CN"/>
          <w14:textFill>
            <w14:solidFill>
              <w14:schemeClr w14:val="tx1"/>
            </w14:solidFill>
          </w14:textFill>
        </w:rPr>
        <w:t>现场</w:t>
      </w:r>
      <w:r>
        <w:rPr>
          <w:rFonts w:hint="eastAsia" w:asciiTheme="minorEastAsia" w:hAnsiTheme="minorEastAsia" w:eastAsiaTheme="minorEastAsia" w:cstheme="minorEastAsia"/>
          <w:color w:val="000000" w:themeColor="text1"/>
          <w:sz w:val="21"/>
          <w:szCs w:val="21"/>
          <w14:textFill>
            <w14:solidFill>
              <w14:schemeClr w14:val="tx1"/>
            </w14:solidFill>
          </w14:textFill>
        </w:rPr>
        <w:t>培训服务</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培训</w:t>
      </w:r>
      <w:r>
        <w:rPr>
          <w:rFonts w:hint="eastAsia" w:asciiTheme="minorEastAsia" w:hAnsiTheme="minorEastAsia" w:eastAsiaTheme="minorEastAsia" w:cstheme="minorEastAsia"/>
          <w:color w:val="000000" w:themeColor="text1"/>
          <w:sz w:val="21"/>
          <w:szCs w:val="21"/>
          <w14:textFill>
            <w14:solidFill>
              <w14:schemeClr w14:val="tx1"/>
            </w14:solidFill>
          </w14:textFill>
        </w:rPr>
        <w:t>所需一切资料由成交供应商免费提供。</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服务（</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交付</w:t>
      </w:r>
      <w:r>
        <w:rPr>
          <w:rFonts w:hint="eastAsia" w:asciiTheme="minorEastAsia" w:hAnsiTheme="minorEastAsia" w:eastAsiaTheme="minorEastAsia" w:cstheme="minorEastAsia"/>
          <w:b/>
          <w:bCs/>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highlight w:val="none"/>
          <w:lang w:val="en-US" w:eastAsia="zh-CN"/>
          <w14:textFill>
            <w14:solidFill>
              <w14:schemeClr w14:val="tx1"/>
            </w14:solidFill>
          </w14:textFill>
        </w:rPr>
        <w:t>期限</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所有货物配送、安装及调试等</w:t>
      </w:r>
      <w:r>
        <w:rPr>
          <w:rFonts w:hint="eastAsia" w:asciiTheme="minorEastAsia" w:hAnsiTheme="minorEastAsia" w:cstheme="minorEastAsia"/>
          <w:color w:val="000000" w:themeColor="text1"/>
          <w:sz w:val="21"/>
          <w:szCs w:val="21"/>
          <w:lang w:val="en-US" w:eastAsia="zh-CN"/>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14:textFill>
            <w14:solidFill>
              <w14:schemeClr w14:val="tx1"/>
            </w14:solidFill>
          </w14:textFill>
        </w:rPr>
        <w:t>合同签订生效之日起</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内完成</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、款项支付</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产品到货验收合格，</w:t>
      </w:r>
      <w:r>
        <w:rPr>
          <w:rFonts w:hint="eastAsia" w:asciiTheme="minorEastAsia" w:hAnsiTheme="minorEastAsia" w:cstheme="minorEastAsia"/>
          <w:color w:val="000000" w:themeColor="text1"/>
          <w:sz w:val="21"/>
          <w:szCs w:val="21"/>
          <w:lang w:val="en-US" w:eastAsia="zh-CN"/>
          <w14:textFill>
            <w14:solidFill>
              <w14:schemeClr w14:val="tx1"/>
            </w14:solidFill>
          </w14:textFill>
        </w:rPr>
        <w:t>收到正式</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发票</w:t>
      </w:r>
      <w:r>
        <w:rPr>
          <w:rFonts w:hint="eastAsia" w:asciiTheme="minorEastAsia" w:hAnsiTheme="minorEastAsia" w:cstheme="minorEastAsia"/>
          <w:color w:val="000000" w:themeColor="text1"/>
          <w:sz w:val="21"/>
          <w:szCs w:val="21"/>
          <w:lang w:val="en-US" w:eastAsia="zh-CN"/>
          <w14:textFill>
            <w14:solidFill>
              <w14:schemeClr w14:val="tx1"/>
            </w14:solidFill>
          </w14:textFill>
        </w:rPr>
        <w:t>等资料后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15日内付款。</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 xml:space="preserve">、售后保障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所有设备及产品均需提供1年以上保修服务，</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自产品验收合格之日起计算，如</w:t>
      </w:r>
      <w:r>
        <w:rPr>
          <w:rFonts w:hint="eastAsia" w:asciiTheme="minorEastAsia" w:hAnsiTheme="minorEastAsia" w:eastAsiaTheme="minorEastAsia" w:cstheme="minorEastAsia"/>
          <w:color w:val="000000" w:themeColor="text1"/>
          <w:sz w:val="21"/>
          <w:szCs w:val="21"/>
          <w14:textFill>
            <w14:solidFill>
              <w14:schemeClr w14:val="tx1"/>
            </w14:solidFill>
          </w14:textFill>
        </w:rPr>
        <w:t>设备原厂提供一年以上售后服务则按原厂时间进行。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14:textFill>
            <w14:solidFill>
              <w14:schemeClr w14:val="tx1"/>
            </w14:solidFill>
          </w14:textFill>
        </w:rPr>
        <w:t>本项目所有设备</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14:textFill>
            <w14:solidFill>
              <w14:schemeClr w14:val="tx1"/>
            </w14:solidFill>
          </w14:textFill>
        </w:rPr>
        <w:t>质量保证期内发生的质量问题由</w:t>
      </w:r>
      <w:r>
        <w:rPr>
          <w:rFonts w:hint="eastAsia" w:asciiTheme="minorEastAsia" w:hAnsi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负责全免费解决（因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w:t>
      </w:r>
      <w:r>
        <w:rPr>
          <w:rFonts w:hint="eastAsia" w:asciiTheme="minorEastAsia" w:hAnsiTheme="minorEastAsia" w:eastAsiaTheme="minorEastAsia" w:cstheme="minorEastAsia"/>
          <w:color w:val="000000" w:themeColor="text1"/>
          <w:sz w:val="21"/>
          <w:szCs w:val="21"/>
          <w14:textFill>
            <w14:solidFill>
              <w14:schemeClr w14:val="tx1"/>
            </w14:solidFill>
          </w14:textFill>
        </w:rPr>
        <w:t>人使用不当或其他人为因素造成的故障除外）。质保期满后，须提供终身保修服务，实行无偿上门维修和定期检测，只收取材料费用。</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、验收标准</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（一）核对采购需求、送货清单、到货发票等材料，采购项目品牌、数量、质量等均符合要求</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（二）供应商供应的产品</w:t>
      </w:r>
      <w:r>
        <w:rPr>
          <w:rFonts w:hint="eastAsia" w:asciiTheme="minorEastAsia" w:hAnsiTheme="minorEastAsia" w:eastAsiaTheme="minorEastAsia" w:cstheme="minorEastAsia"/>
          <w:color w:val="000000" w:themeColor="text1"/>
          <w:sz w:val="21"/>
          <w:szCs w:val="21"/>
          <w14:textFill>
            <w14:solidFill>
              <w14:schemeClr w14:val="tx1"/>
            </w14:solidFill>
          </w14:textFill>
        </w:rPr>
        <w:t>整机无污染，无侵权行为、表面无划损、无任何缺陷隐患，可依常规安全合法使用。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其中非定制类产品必须具备出厂合格证，</w:t>
      </w:r>
      <w:r>
        <w:rPr>
          <w:rFonts w:hint="eastAsia" w:asciiTheme="minorEastAsia" w:hAnsiTheme="minorEastAsia" w:eastAsiaTheme="minorEastAsia" w:cstheme="minorEastAsia"/>
          <w:color w:val="000000" w:themeColor="text1"/>
          <w:sz w:val="21"/>
          <w:szCs w:val="21"/>
          <w14:textFill>
            <w14:solidFill>
              <w14:schemeClr w14:val="tx1"/>
            </w14:solidFill>
          </w14:textFill>
        </w:rPr>
        <w:t>设备为原制造商制造的全新产品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定制类产品应符合规格参数型号，</w:t>
      </w:r>
      <w:r>
        <w:rPr>
          <w:rFonts w:hint="eastAsia" w:asciiTheme="minorEastAsia" w:hAnsiTheme="minorEastAsia" w:eastAsiaTheme="minorEastAsia" w:cstheme="minorEastAsia"/>
          <w:color w:val="000000" w:themeColor="text1"/>
          <w:sz w:val="21"/>
          <w:szCs w:val="21"/>
          <w14:textFill>
            <w14:solidFill>
              <w14:schemeClr w14:val="tx1"/>
            </w14:solidFill>
          </w14:textFill>
        </w:rPr>
        <w:t>技术先进、性能优良、结构紧凑、</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使用方便、</w:t>
      </w:r>
      <w:r>
        <w:rPr>
          <w:rFonts w:hint="eastAsia" w:asciiTheme="minorEastAsia" w:hAnsiTheme="minorEastAsia" w:eastAsiaTheme="minorEastAsia" w:cstheme="minorEastAsia"/>
          <w:color w:val="000000" w:themeColor="text1"/>
          <w:sz w:val="21"/>
          <w:szCs w:val="21"/>
          <w14:textFill>
            <w14:solidFill>
              <w14:schemeClr w14:val="tx1"/>
            </w14:solidFill>
          </w14:textFill>
        </w:rPr>
        <w:t>便于安装和维护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20"/>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36"/>
          <w:szCs w:val="36"/>
          <w:u w:val="none"/>
          <w:lang w:val="en-US" w:eastAsia="zh-CN"/>
        </w:rPr>
      </w:pPr>
      <w:r>
        <w:rPr>
          <w:rFonts w:hint="eastAsia" w:asciiTheme="minorEastAsia" w:hAnsiTheme="minorEastAsia" w:cstheme="minorEastAsia"/>
          <w:b/>
          <w:bCs/>
          <w:sz w:val="36"/>
          <w:szCs w:val="36"/>
          <w:u w:val="none"/>
          <w:lang w:val="en-US" w:eastAsia="zh-CN"/>
        </w:rPr>
        <w:t>广东省河源监狱罪犯伙房部分设备采购项目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0"/>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6</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right="893"/>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3"/>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3"/>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6"/>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广东省河源监狱罪犯伙房部分设备采购项目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lang w:val="en-US" w:eastAsia="zh-CN"/>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10"/>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u w:val="single"/>
          <w:lang w:val="en-US" w:eastAsia="zh-CN"/>
        </w:rPr>
        <w:t>广东省河源监狱</w:t>
      </w:r>
      <w:r>
        <w:rPr>
          <w:rFonts w:hint="eastAsia" w:asciiTheme="minorEastAsia" w:hAnsiTheme="minorEastAsia" w:cstheme="minorEastAsia"/>
          <w:sz w:val="21"/>
          <w:szCs w:val="21"/>
          <w:u w:val="single"/>
          <w:lang w:val="en-US" w:eastAsia="zh-CN"/>
        </w:rPr>
        <w:t>罪犯伙房部分设备</w:t>
      </w:r>
      <w:r>
        <w:rPr>
          <w:rFonts w:hint="eastAsia" w:asciiTheme="minorEastAsia" w:hAnsiTheme="minorEastAsia" w:eastAsiaTheme="minorEastAsia" w:cstheme="minorEastAsia"/>
          <w:sz w:val="21"/>
          <w:szCs w:val="21"/>
          <w:u w:val="single"/>
          <w:lang w:val="en-US" w:eastAsia="zh-CN"/>
        </w:rPr>
        <w:t>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10"/>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0"/>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10"/>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10"/>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广东省河源监狱罪犯伙房部分设备采购项目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0"/>
        </w:numPr>
        <w:kinsoku/>
        <w:wordWrap/>
        <w:overflowPunct/>
        <w:topLinePunct w:val="0"/>
        <w:bidi w:val="0"/>
        <w:snapToGrid w:val="0"/>
        <w:spacing w:line="340" w:lineRule="exact"/>
        <w:ind w:left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cstheme="minorEastAsia"/>
          <w:b/>
          <w:color w:val="000000" w:themeColor="text1"/>
          <w:sz w:val="28"/>
          <w:szCs w:val="28"/>
          <w:lang w:val="en-US" w:eastAsia="zh-CN"/>
          <w14:textFill>
            <w14:solidFill>
              <w14:schemeClr w14:val="tx1"/>
            </w14:solidFill>
          </w14:textFill>
        </w:rPr>
        <w:t>二</w:t>
      </w: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10"/>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10"/>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cstheme="minorEastAsia"/>
          <w:b/>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9"/>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409"/>
        <w:gridCol w:w="1852"/>
        <w:gridCol w:w="167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993"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项目名称</w:t>
            </w:r>
          </w:p>
        </w:tc>
        <w:tc>
          <w:tcPr>
            <w:tcW w:w="1409"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数量</w:t>
            </w:r>
          </w:p>
        </w:tc>
        <w:tc>
          <w:tcPr>
            <w:tcW w:w="1852" w:type="dxa"/>
            <w:vAlign w:val="center"/>
          </w:tcPr>
          <w:p>
            <w:pPr>
              <w:pStyle w:val="10"/>
              <w:pageBreakBefore w:val="0"/>
              <w:kinsoku/>
              <w:wordWrap/>
              <w:overflowPunct/>
              <w:topLinePunct w:val="0"/>
              <w:bidi w:val="0"/>
              <w:spacing w:line="340" w:lineRule="exact"/>
              <w:jc w:val="center"/>
              <w:rPr>
                <w:rFonts w:hint="eastAsia"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单价</w:t>
            </w:r>
            <w:r>
              <w:rPr>
                <w:rFonts w:hint="eastAsia" w:ascii="宋体" w:hAnsi="宋体" w:eastAsiaTheme="minorEastAsia" w:cstheme="minorBidi"/>
                <w:b/>
                <w:bCs w:val="0"/>
                <w:color w:val="auto"/>
                <w:spacing w:val="4"/>
                <w:kern w:val="2"/>
                <w:sz w:val="21"/>
                <w:szCs w:val="21"/>
                <w:u w:val="none"/>
                <w:lang w:val="en-US" w:eastAsia="zh-CN" w:bidi="ar-SA"/>
              </w:rPr>
              <w:t>下浮率</w:t>
            </w:r>
          </w:p>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报价（%）</w:t>
            </w:r>
          </w:p>
        </w:tc>
        <w:tc>
          <w:tcPr>
            <w:tcW w:w="1679"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交付期限</w:t>
            </w:r>
          </w:p>
        </w:tc>
        <w:tc>
          <w:tcPr>
            <w:tcW w:w="1327"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1993" w:type="dxa"/>
            <w:vAlign w:val="center"/>
          </w:tcPr>
          <w:p>
            <w:pPr>
              <w:pStyle w:val="10"/>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r>
              <w:rPr>
                <w:rFonts w:hint="eastAsia" w:ascii="宋体" w:hAnsi="宋体" w:eastAsiaTheme="minorEastAsia" w:cstheme="minorBidi"/>
                <w:b w:val="0"/>
                <w:bCs/>
                <w:color w:val="auto"/>
                <w:spacing w:val="4"/>
                <w:kern w:val="2"/>
                <w:sz w:val="21"/>
                <w:szCs w:val="21"/>
                <w:u w:val="none"/>
                <w:lang w:val="en-US" w:eastAsia="zh-CN" w:bidi="ar-SA"/>
              </w:rPr>
              <w:t>广东省河源监狱罪犯伙房部分设备采购项目</w:t>
            </w:r>
          </w:p>
        </w:tc>
        <w:tc>
          <w:tcPr>
            <w:tcW w:w="1409"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1批</w:t>
            </w:r>
          </w:p>
        </w:tc>
        <w:tc>
          <w:tcPr>
            <w:tcW w:w="1852" w:type="dxa"/>
            <w:vAlign w:val="center"/>
          </w:tcPr>
          <w:p>
            <w:pPr>
              <w:pStyle w:val="10"/>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p>
          <w:p>
            <w:pPr>
              <w:pStyle w:val="10"/>
              <w:pageBreakBefore w:val="0"/>
              <w:kinsoku/>
              <w:wordWrap/>
              <w:overflowPunct/>
              <w:topLinePunct w:val="0"/>
              <w:bidi w:val="0"/>
              <w:spacing w:line="340" w:lineRule="exact"/>
              <w:jc w:val="center"/>
              <w:rPr>
                <w:rFonts w:hint="eastAsia" w:ascii="宋体" w:hAnsi="宋体" w:eastAsiaTheme="minorEastAsia" w:cstheme="minorBidi"/>
                <w:b w:val="0"/>
                <w:bCs/>
                <w:color w:val="auto"/>
                <w:spacing w:val="4"/>
                <w:kern w:val="2"/>
                <w:sz w:val="21"/>
                <w:szCs w:val="21"/>
                <w:u w:val="none"/>
                <w:lang w:val="en-US" w:eastAsia="zh-CN" w:bidi="ar-SA"/>
              </w:rPr>
            </w:pPr>
          </w:p>
        </w:tc>
        <w:tc>
          <w:tcPr>
            <w:tcW w:w="1679" w:type="dxa"/>
            <w:vAlign w:val="center"/>
          </w:tcPr>
          <w:p>
            <w:pPr>
              <w:pStyle w:val="10"/>
              <w:pageBreakBefore w:val="0"/>
              <w:kinsoku/>
              <w:wordWrap/>
              <w:overflowPunct/>
              <w:topLinePunct w:val="0"/>
              <w:bidi w:val="0"/>
              <w:spacing w:line="340" w:lineRule="exact"/>
              <w:jc w:val="both"/>
              <w:rPr>
                <w:rFonts w:hint="default" w:ascii="宋体" w:hAnsi="宋体" w:eastAsiaTheme="minorEastAsia" w:cstheme="minorBidi"/>
                <w:b w:val="0"/>
                <w:bCs/>
                <w:color w:val="auto"/>
                <w:spacing w:val="4"/>
                <w:kern w:val="2"/>
                <w:sz w:val="21"/>
                <w:szCs w:val="21"/>
                <w:u w:val="none"/>
                <w:lang w:val="en-US" w:eastAsia="zh-CN" w:bidi="ar-SA"/>
              </w:rPr>
            </w:pPr>
            <w:r>
              <w:rPr>
                <w:rFonts w:hint="eastAsia" w:ascii="宋体" w:hAnsi="宋体" w:eastAsiaTheme="minorEastAsia" w:cstheme="minorBidi"/>
                <w:b w:val="0"/>
                <w:bCs/>
                <w:color w:val="auto"/>
                <w:spacing w:val="4"/>
                <w:kern w:val="2"/>
                <w:sz w:val="21"/>
                <w:szCs w:val="21"/>
                <w:u w:val="none"/>
                <w:lang w:val="en-US" w:eastAsia="zh-CN" w:bidi="ar-SA"/>
              </w:rPr>
              <w:t>合同签订之日起30</w:t>
            </w:r>
            <w:r>
              <w:rPr>
                <w:rFonts w:hint="default" w:ascii="宋体" w:hAnsi="宋体" w:eastAsiaTheme="minorEastAsia" w:cstheme="minorBidi"/>
                <w:b w:val="0"/>
                <w:bCs/>
                <w:color w:val="auto"/>
                <w:spacing w:val="4"/>
                <w:kern w:val="2"/>
                <w:sz w:val="21"/>
                <w:szCs w:val="21"/>
                <w:u w:val="none"/>
                <w:lang w:val="en-US" w:eastAsia="zh-CN" w:bidi="ar-SA"/>
              </w:rPr>
              <w:t>日</w:t>
            </w:r>
            <w:r>
              <w:rPr>
                <w:rFonts w:hint="eastAsia" w:ascii="宋体" w:hAnsi="宋体" w:eastAsiaTheme="minorEastAsia" w:cstheme="minorBidi"/>
                <w:b w:val="0"/>
                <w:bCs/>
                <w:color w:val="auto"/>
                <w:spacing w:val="4"/>
                <w:kern w:val="2"/>
                <w:sz w:val="21"/>
                <w:szCs w:val="21"/>
                <w:u w:val="none"/>
                <w:lang w:val="en-US" w:eastAsia="zh-CN" w:bidi="ar-SA"/>
              </w:rPr>
              <w:t>内完成。</w:t>
            </w:r>
          </w:p>
        </w:tc>
        <w:tc>
          <w:tcPr>
            <w:tcW w:w="1327" w:type="dxa"/>
            <w:vAlign w:val="center"/>
          </w:tcPr>
          <w:p>
            <w:pPr>
              <w:pStyle w:val="10"/>
              <w:pageBreakBefore w:val="0"/>
              <w:kinsoku/>
              <w:wordWrap/>
              <w:overflowPunct/>
              <w:topLinePunct w:val="0"/>
              <w:bidi w:val="0"/>
              <w:spacing w:line="340" w:lineRule="exact"/>
              <w:jc w:val="center"/>
              <w:rPr>
                <w:rFonts w:hint="eastAsia" w:ascii="宋体" w:hAnsi="宋体" w:eastAsiaTheme="minorEastAsia" w:cstheme="minorBidi"/>
                <w:b w:val="0"/>
                <w:bCs/>
                <w:color w:val="auto"/>
                <w:spacing w:val="4"/>
                <w:kern w:val="2"/>
                <w:sz w:val="21"/>
                <w:szCs w:val="21"/>
                <w:u w:val="none"/>
                <w:lang w:val="en-US" w:eastAsia="zh-CN" w:bidi="ar-SA"/>
              </w:rPr>
            </w:pPr>
          </w:p>
        </w:tc>
      </w:tr>
    </w:tbl>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b w:val="0"/>
          <w:bCs/>
          <w:color w:val="auto"/>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val="en-US" w:eastAsia="zh-CN"/>
        </w:rPr>
        <w:t>运输、安装、</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rPr>
        <w:t>合同物品单价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ascii="宋体" w:hAnsi="宋体"/>
          <w:b w:val="0"/>
          <w:bCs/>
          <w:color w:val="auto"/>
          <w:u w:val="none"/>
        </w:rPr>
        <w:t>；</w:t>
      </w:r>
      <w:r>
        <w:rPr>
          <w:rFonts w:hint="eastAsia" w:ascii="宋体" w:hAnsi="宋体"/>
          <w:b w:val="0"/>
          <w:bCs/>
          <w:color w:val="auto"/>
          <w:u w:val="none"/>
          <w:lang w:val="en-US" w:eastAsia="zh-CN"/>
        </w:rPr>
        <w:t>签订合同时，</w:t>
      </w:r>
      <w:r>
        <w:rPr>
          <w:rFonts w:hint="eastAsia" w:asciiTheme="minorEastAsia" w:hAnsiTheme="minorEastAsia" w:eastAsiaTheme="minorEastAsia"/>
          <w:b w:val="0"/>
          <w:bCs/>
          <w:color w:val="auto"/>
          <w:sz w:val="21"/>
          <w:szCs w:val="21"/>
          <w:highlight w:val="none"/>
          <w:u w:val="none"/>
        </w:rPr>
        <w:t>下浮后单价保留</w:t>
      </w:r>
      <w:r>
        <w:rPr>
          <w:rFonts w:hint="eastAsia" w:asciiTheme="minorEastAsia" w:hAnsiTheme="minorEastAsia"/>
          <w:b w:val="0"/>
          <w:bCs/>
          <w:color w:val="auto"/>
          <w:sz w:val="21"/>
          <w:szCs w:val="21"/>
          <w:highlight w:val="none"/>
          <w:u w:val="none"/>
          <w:lang w:val="en-US" w:eastAsia="zh-CN"/>
        </w:rPr>
        <w:t>两</w:t>
      </w:r>
      <w:r>
        <w:rPr>
          <w:rFonts w:hint="eastAsia" w:asciiTheme="minorEastAsia" w:hAnsiTheme="minorEastAsia" w:eastAsiaTheme="minorEastAsia"/>
          <w:b w:val="0"/>
          <w:bCs/>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val="0"/>
          <w:bCs/>
          <w:color w:val="auto"/>
          <w:sz w:val="21"/>
          <w:szCs w:val="21"/>
        </w:rPr>
        <w:t>本项目不接受有选择性的报价，只允许报一个下浮率，所报的下浮率适用</w:t>
      </w:r>
      <w:r>
        <w:rPr>
          <w:rFonts w:hint="eastAsia" w:asciiTheme="minorEastAsia" w:hAnsiTheme="minorEastAsia" w:cstheme="minorEastAsia"/>
          <w:b w:val="0"/>
          <w:bCs/>
          <w:color w:val="auto"/>
          <w:sz w:val="21"/>
          <w:szCs w:val="21"/>
          <w:lang w:val="en-US" w:eastAsia="zh-CN"/>
        </w:rPr>
        <w:t>采购清单</w:t>
      </w:r>
      <w:r>
        <w:rPr>
          <w:rFonts w:hint="eastAsia" w:asciiTheme="minorEastAsia" w:hAnsiTheme="minorEastAsia" w:eastAsiaTheme="minorEastAsia" w:cstheme="minorEastAsia"/>
          <w:b w:val="0"/>
          <w:bCs/>
          <w:color w:val="auto"/>
          <w:sz w:val="21"/>
          <w:szCs w:val="21"/>
        </w:rPr>
        <w:t>所有</w:t>
      </w:r>
      <w:r>
        <w:rPr>
          <w:rFonts w:hint="eastAsia" w:asciiTheme="minorEastAsia" w:hAnsiTheme="minorEastAsia" w:cstheme="minorEastAsia"/>
          <w:b w:val="0"/>
          <w:bCs/>
          <w:color w:val="auto"/>
          <w:sz w:val="21"/>
          <w:szCs w:val="21"/>
          <w:lang w:val="en-US" w:eastAsia="zh-CN"/>
        </w:rPr>
        <w:t>商品</w:t>
      </w:r>
      <w:r>
        <w:rPr>
          <w:rFonts w:hint="eastAsia" w:asciiTheme="minorEastAsia" w:hAnsiTheme="minorEastAsia" w:eastAsiaTheme="minorEastAsia" w:cstheme="minorEastAsia"/>
          <w:b w:val="0"/>
          <w:bCs/>
          <w:color w:val="auto"/>
          <w:sz w:val="21"/>
          <w:szCs w:val="21"/>
          <w:lang w:eastAsia="zh-CN"/>
        </w:rPr>
        <w:t>。</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20"/>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p>
    <w:p>
      <w:pPr>
        <w:pageBreakBefore w:val="0"/>
        <w:kinsoku/>
        <w:wordWrap/>
        <w:overflowPunct/>
        <w:topLinePunct w:val="0"/>
        <w:bidi w:val="0"/>
        <w:spacing w:beforeLines="50"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numPr>
          <w:ilvl w:val="0"/>
          <w:numId w:val="0"/>
        </w:numPr>
        <w:kinsoku/>
        <w:wordWrap/>
        <w:overflowPunct/>
        <w:topLinePunct w:val="0"/>
        <w:bidi w:val="0"/>
        <w:spacing w:line="340" w:lineRule="exact"/>
        <w:ind w:leftChars="0"/>
        <w:jc w:val="both"/>
        <w:rPr>
          <w:rFonts w:hint="default" w:asciiTheme="minorEastAsia" w:hAnsiTheme="minorEastAsia" w:cstheme="minorEastAsia"/>
          <w:b/>
          <w:color w:val="000000" w:themeColor="text1"/>
          <w:sz w:val="32"/>
          <w:szCs w:val="32"/>
          <w:lang w:val="en-US" w:eastAsia="zh-CN"/>
          <w14:textFill>
            <w14:solidFill>
              <w14:schemeClr w14:val="tx1"/>
            </w14:solidFill>
          </w14:textFill>
        </w:rPr>
      </w:pP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5ADB0"/>
    <w:multiLevelType w:val="singleLevel"/>
    <w:tmpl w:val="9D65ADB0"/>
    <w:lvl w:ilvl="0" w:tentative="0">
      <w:start w:val="3"/>
      <w:numFmt w:val="chineseCounting"/>
      <w:suff w:val="nothing"/>
      <w:lvlText w:val="%1、"/>
      <w:lvlJc w:val="left"/>
      <w:rPr>
        <w:rFonts w:hint="eastAsia"/>
      </w:rPr>
    </w:lvl>
  </w:abstractNum>
  <w:abstractNum w:abstractNumId="1">
    <w:nsid w:val="11336460"/>
    <w:multiLevelType w:val="singleLevel"/>
    <w:tmpl w:val="11336460"/>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A28"/>
    <w:rsid w:val="007A3658"/>
    <w:rsid w:val="007D2DC4"/>
    <w:rsid w:val="00E21113"/>
    <w:rsid w:val="00EE48ED"/>
    <w:rsid w:val="014A1E14"/>
    <w:rsid w:val="0155715C"/>
    <w:rsid w:val="01C728D0"/>
    <w:rsid w:val="02254329"/>
    <w:rsid w:val="03356B49"/>
    <w:rsid w:val="046702C2"/>
    <w:rsid w:val="04814D9C"/>
    <w:rsid w:val="04C27B6C"/>
    <w:rsid w:val="04D76B7C"/>
    <w:rsid w:val="05601E08"/>
    <w:rsid w:val="060A30EE"/>
    <w:rsid w:val="079642AF"/>
    <w:rsid w:val="07A40D36"/>
    <w:rsid w:val="07C871BD"/>
    <w:rsid w:val="08F6786C"/>
    <w:rsid w:val="08FF4AC8"/>
    <w:rsid w:val="09C0276A"/>
    <w:rsid w:val="09C22DF1"/>
    <w:rsid w:val="0A034C37"/>
    <w:rsid w:val="0B3C2B55"/>
    <w:rsid w:val="0BA21DE8"/>
    <w:rsid w:val="0BC5664A"/>
    <w:rsid w:val="0BDA4A8E"/>
    <w:rsid w:val="0BF91E6C"/>
    <w:rsid w:val="0C373B85"/>
    <w:rsid w:val="0C5E2D60"/>
    <w:rsid w:val="0CAD59F1"/>
    <w:rsid w:val="0D226E45"/>
    <w:rsid w:val="0D934A87"/>
    <w:rsid w:val="0F1B3E67"/>
    <w:rsid w:val="10662DEA"/>
    <w:rsid w:val="11216B9A"/>
    <w:rsid w:val="11B25927"/>
    <w:rsid w:val="123D6A4D"/>
    <w:rsid w:val="1274634C"/>
    <w:rsid w:val="1397165D"/>
    <w:rsid w:val="14F77FDF"/>
    <w:rsid w:val="16413E71"/>
    <w:rsid w:val="16737FD7"/>
    <w:rsid w:val="16B31506"/>
    <w:rsid w:val="16BC0404"/>
    <w:rsid w:val="16F50701"/>
    <w:rsid w:val="172163E8"/>
    <w:rsid w:val="186D7D0F"/>
    <w:rsid w:val="19217460"/>
    <w:rsid w:val="192A23C6"/>
    <w:rsid w:val="19C1544E"/>
    <w:rsid w:val="19DA1D52"/>
    <w:rsid w:val="1AAA69E1"/>
    <w:rsid w:val="1B03180F"/>
    <w:rsid w:val="1B34727B"/>
    <w:rsid w:val="1BED1A6A"/>
    <w:rsid w:val="1BFA5FCE"/>
    <w:rsid w:val="1E235C2D"/>
    <w:rsid w:val="1FF175C6"/>
    <w:rsid w:val="201E487F"/>
    <w:rsid w:val="20947A18"/>
    <w:rsid w:val="212E6F82"/>
    <w:rsid w:val="21941CBB"/>
    <w:rsid w:val="21A03B8D"/>
    <w:rsid w:val="21A3268F"/>
    <w:rsid w:val="21C36F1F"/>
    <w:rsid w:val="21F7526F"/>
    <w:rsid w:val="22CB2963"/>
    <w:rsid w:val="245A2BC3"/>
    <w:rsid w:val="245B39EA"/>
    <w:rsid w:val="24D43041"/>
    <w:rsid w:val="251C48A9"/>
    <w:rsid w:val="255C570C"/>
    <w:rsid w:val="25E67716"/>
    <w:rsid w:val="264F26CE"/>
    <w:rsid w:val="265E0F6A"/>
    <w:rsid w:val="28A27EE1"/>
    <w:rsid w:val="29421331"/>
    <w:rsid w:val="2A270A75"/>
    <w:rsid w:val="2AA661B2"/>
    <w:rsid w:val="2C627AC8"/>
    <w:rsid w:val="2D5007B8"/>
    <w:rsid w:val="2D7B5115"/>
    <w:rsid w:val="2DBC2E0A"/>
    <w:rsid w:val="2F062F75"/>
    <w:rsid w:val="2F2F0429"/>
    <w:rsid w:val="2FB478F7"/>
    <w:rsid w:val="2FC95D81"/>
    <w:rsid w:val="303B299D"/>
    <w:rsid w:val="31006CD9"/>
    <w:rsid w:val="31041AAE"/>
    <w:rsid w:val="310606C6"/>
    <w:rsid w:val="318656D8"/>
    <w:rsid w:val="31A41555"/>
    <w:rsid w:val="332D2CD8"/>
    <w:rsid w:val="33597986"/>
    <w:rsid w:val="34364FAB"/>
    <w:rsid w:val="37B54E1D"/>
    <w:rsid w:val="37B81BEC"/>
    <w:rsid w:val="38181871"/>
    <w:rsid w:val="38787AEA"/>
    <w:rsid w:val="38F92A66"/>
    <w:rsid w:val="3A8676EF"/>
    <w:rsid w:val="3B0E690B"/>
    <w:rsid w:val="3DC84A9A"/>
    <w:rsid w:val="3DFE6052"/>
    <w:rsid w:val="3E0407E2"/>
    <w:rsid w:val="3EF24ED3"/>
    <w:rsid w:val="3FB21705"/>
    <w:rsid w:val="3FE77A82"/>
    <w:rsid w:val="4017186C"/>
    <w:rsid w:val="40AA19D4"/>
    <w:rsid w:val="40E057D3"/>
    <w:rsid w:val="412B3BD0"/>
    <w:rsid w:val="41711287"/>
    <w:rsid w:val="435726A3"/>
    <w:rsid w:val="43E211E5"/>
    <w:rsid w:val="43F7549F"/>
    <w:rsid w:val="44074471"/>
    <w:rsid w:val="44990137"/>
    <w:rsid w:val="468E2CEF"/>
    <w:rsid w:val="46F05C0A"/>
    <w:rsid w:val="47007902"/>
    <w:rsid w:val="480B07CF"/>
    <w:rsid w:val="497E3370"/>
    <w:rsid w:val="4B1B2583"/>
    <w:rsid w:val="4C7B4010"/>
    <w:rsid w:val="4CC911A2"/>
    <w:rsid w:val="4CCB0B65"/>
    <w:rsid w:val="4D4A51B9"/>
    <w:rsid w:val="4E306D68"/>
    <w:rsid w:val="4E8C7567"/>
    <w:rsid w:val="4EB20057"/>
    <w:rsid w:val="4F3E14BF"/>
    <w:rsid w:val="4FB67A4E"/>
    <w:rsid w:val="50D85556"/>
    <w:rsid w:val="515E7A70"/>
    <w:rsid w:val="517B4F66"/>
    <w:rsid w:val="5209190E"/>
    <w:rsid w:val="52517C78"/>
    <w:rsid w:val="52FE6E08"/>
    <w:rsid w:val="53B264F4"/>
    <w:rsid w:val="54117BA3"/>
    <w:rsid w:val="54561298"/>
    <w:rsid w:val="54867189"/>
    <w:rsid w:val="54B57A63"/>
    <w:rsid w:val="556E4ACF"/>
    <w:rsid w:val="577B5528"/>
    <w:rsid w:val="57992D66"/>
    <w:rsid w:val="587B3035"/>
    <w:rsid w:val="59BB22D1"/>
    <w:rsid w:val="59DA2EC6"/>
    <w:rsid w:val="59F138CC"/>
    <w:rsid w:val="5ACF512A"/>
    <w:rsid w:val="5B4A21F6"/>
    <w:rsid w:val="5C3E7DAD"/>
    <w:rsid w:val="5C871D54"/>
    <w:rsid w:val="5CA85FC8"/>
    <w:rsid w:val="5D3C270C"/>
    <w:rsid w:val="5EB66D4F"/>
    <w:rsid w:val="5FAD1DF9"/>
    <w:rsid w:val="601F6302"/>
    <w:rsid w:val="602B1BBC"/>
    <w:rsid w:val="61536015"/>
    <w:rsid w:val="619F122B"/>
    <w:rsid w:val="63257394"/>
    <w:rsid w:val="63B9340E"/>
    <w:rsid w:val="63ED53B7"/>
    <w:rsid w:val="6404247B"/>
    <w:rsid w:val="6455458D"/>
    <w:rsid w:val="65330FEE"/>
    <w:rsid w:val="663E38C4"/>
    <w:rsid w:val="667B2FA0"/>
    <w:rsid w:val="6787443F"/>
    <w:rsid w:val="67A33E4D"/>
    <w:rsid w:val="68443BAF"/>
    <w:rsid w:val="692C1847"/>
    <w:rsid w:val="698F20E1"/>
    <w:rsid w:val="69AA012B"/>
    <w:rsid w:val="69CB1013"/>
    <w:rsid w:val="6AA8021D"/>
    <w:rsid w:val="6B237708"/>
    <w:rsid w:val="6BC46931"/>
    <w:rsid w:val="6D0D7448"/>
    <w:rsid w:val="6E05221F"/>
    <w:rsid w:val="6E3C39C3"/>
    <w:rsid w:val="6EBA35DA"/>
    <w:rsid w:val="6F6C6898"/>
    <w:rsid w:val="703334D2"/>
    <w:rsid w:val="70391CB1"/>
    <w:rsid w:val="711158B3"/>
    <w:rsid w:val="71AD6345"/>
    <w:rsid w:val="71BF53D6"/>
    <w:rsid w:val="71ED654D"/>
    <w:rsid w:val="72040583"/>
    <w:rsid w:val="720C154E"/>
    <w:rsid w:val="72150491"/>
    <w:rsid w:val="721A1E72"/>
    <w:rsid w:val="721F7183"/>
    <w:rsid w:val="72B73D6C"/>
    <w:rsid w:val="72F025FA"/>
    <w:rsid w:val="73417041"/>
    <w:rsid w:val="7353136B"/>
    <w:rsid w:val="735340BF"/>
    <w:rsid w:val="73656151"/>
    <w:rsid w:val="745449E5"/>
    <w:rsid w:val="74747C07"/>
    <w:rsid w:val="74D21ED1"/>
    <w:rsid w:val="74FC0165"/>
    <w:rsid w:val="762A42EA"/>
    <w:rsid w:val="77192436"/>
    <w:rsid w:val="77350F71"/>
    <w:rsid w:val="7745190F"/>
    <w:rsid w:val="77904BBB"/>
    <w:rsid w:val="77FF0EFA"/>
    <w:rsid w:val="7AF95F25"/>
    <w:rsid w:val="7CCF650C"/>
    <w:rsid w:val="7D5C12AC"/>
    <w:rsid w:val="7EC040B2"/>
    <w:rsid w:val="7F312660"/>
    <w:rsid w:val="7F72221A"/>
    <w:rsid w:val="7FAD3488"/>
    <w:rsid w:val="7FC4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5">
    <w:name w:val="heading 3"/>
    <w:basedOn w:val="1"/>
    <w:next w:val="1"/>
    <w:qFormat/>
    <w:uiPriority w:val="0"/>
    <w:pPr>
      <w:widowControl w:val="0"/>
      <w:spacing w:before="100" w:beforeAutospacing="1" w:after="100" w:afterAutospacing="1"/>
      <w:outlineLvl w:val="2"/>
    </w:pPr>
    <w:rPr>
      <w:rFonts w:hint="eastAsia" w:cs="Times New Roman"/>
      <w:b/>
      <w:sz w:val="27"/>
      <w:szCs w:val="27"/>
    </w:rPr>
  </w:style>
  <w:style w:type="character" w:default="1" w:styleId="1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Cs w:val="20"/>
    </w:rPr>
  </w:style>
  <w:style w:type="paragraph" w:styleId="6">
    <w:name w:val="Normal Indent"/>
    <w:basedOn w:val="1"/>
    <w:qFormat/>
    <w:uiPriority w:val="0"/>
    <w:pPr>
      <w:ind w:firstLine="420"/>
    </w:pPr>
    <w:rPr>
      <w:szCs w:val="20"/>
    </w:rPr>
  </w:style>
  <w:style w:type="paragraph" w:styleId="7">
    <w:name w:val="Body Text"/>
    <w:basedOn w:val="1"/>
    <w:qFormat/>
    <w:uiPriority w:val="0"/>
    <w:pPr>
      <w:tabs>
        <w:tab w:val="left" w:pos="562"/>
        <w:tab w:val="left" w:pos="3372"/>
        <w:tab w:val="left" w:pos="3653"/>
      </w:tabs>
    </w:pPr>
    <w:rPr>
      <w:sz w:val="24"/>
    </w:rPr>
  </w:style>
  <w:style w:type="paragraph" w:styleId="8">
    <w:name w:val="Body Text Indent"/>
    <w:basedOn w:val="1"/>
    <w:next w:val="9"/>
    <w:qFormat/>
    <w:uiPriority w:val="0"/>
    <w:pPr>
      <w:ind w:left="420"/>
    </w:pPr>
  </w:style>
  <w:style w:type="paragraph" w:styleId="9">
    <w:name w:val="envelope return"/>
    <w:basedOn w:val="1"/>
    <w:qFormat/>
    <w:uiPriority w:val="0"/>
    <w:pPr>
      <w:autoSpaceDE/>
      <w:autoSpaceDN/>
      <w:adjustRightInd/>
      <w:snapToGrid w:val="0"/>
      <w:jc w:val="both"/>
    </w:pPr>
    <w:rPr>
      <w:rFonts w:ascii="Arial" w:hAnsi="Arial" w:cs="Arial"/>
      <w:kern w:val="2"/>
      <w:sz w:val="21"/>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8"/>
    <w:qFormat/>
    <w:uiPriority w:val="0"/>
    <w:pPr>
      <w:widowControl/>
      <w:spacing w:after="120"/>
      <w:ind w:leftChars="200" w:firstLine="420" w:firstLineChars="200"/>
      <w:jc w:val="left"/>
    </w:pPr>
    <w:rPr>
      <w:rFonts w:ascii="Times New Roman" w:hAnsi="Times New Roman"/>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39"/>
    <w:pPr>
      <w:spacing w:before="120" w:after="120"/>
      <w:jc w:val="center"/>
    </w:pPr>
    <w:rPr>
      <w:b/>
      <w:bCs/>
      <w:caps/>
      <w:sz w:val="28"/>
      <w:szCs w:val="28"/>
    </w:rPr>
  </w:style>
  <w:style w:type="paragraph" w:styleId="15">
    <w:name w:val="Normal (Web)"/>
    <w:basedOn w:val="1"/>
    <w:qFormat/>
    <w:uiPriority w:val="0"/>
    <w:rPr>
      <w:sz w:val="24"/>
    </w:rPr>
  </w:style>
  <w:style w:type="character" w:styleId="17">
    <w:name w:val="Hyperlink"/>
    <w:qFormat/>
    <w:uiPriority w:val="99"/>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_Style 3"/>
    <w:basedOn w:val="1"/>
    <w:qFormat/>
    <w:uiPriority w:val="0"/>
    <w:pPr>
      <w:ind w:firstLine="420" w:firstLineChars="200"/>
    </w:pPr>
    <w:rPr>
      <w:sz w:val="20"/>
    </w:rPr>
  </w:style>
  <w:style w:type="paragraph" w:customStyle="1" w:styleId="21">
    <w:name w:val="List Paragraph"/>
    <w:basedOn w:val="1"/>
    <w:qFormat/>
    <w:uiPriority w:val="34"/>
    <w:pPr>
      <w:ind w:firstLine="420" w:firstLineChars="200"/>
    </w:pPr>
  </w:style>
  <w:style w:type="paragraph" w:customStyle="1" w:styleId="22">
    <w:name w:val="列出段落1"/>
    <w:basedOn w:val="1"/>
    <w:qFormat/>
    <w:uiPriority w:val="34"/>
    <w:pPr>
      <w:ind w:firstLine="420" w:firstLineChars="200"/>
    </w:pPr>
  </w:style>
  <w:style w:type="paragraph" w:customStyle="1" w:styleId="23">
    <w:name w:val="保留正文"/>
    <w:basedOn w:val="7"/>
    <w:qFormat/>
    <w:uiPriority w:val="0"/>
    <w:pPr>
      <w:keepNext/>
      <w:spacing w:after="160"/>
    </w:pPr>
    <w:rPr>
      <w:sz w:val="21"/>
    </w:rPr>
  </w:style>
  <w:style w:type="character" w:customStyle="1" w:styleId="24">
    <w:name w:val="NormalCharacter"/>
    <w:semiHidden/>
    <w:qFormat/>
    <w:uiPriority w:val="99"/>
  </w:style>
  <w:style w:type="paragraph" w:customStyle="1" w:styleId="25">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2023-10-24T06:13:00Z</cp:lastPrinted>
  <dcterms:modified xsi:type="dcterms:W3CDTF">2023-11-21T01:09:30Z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