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2024012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2024年办公用品（含公司）采购项目</w:t>
      </w:r>
      <w:r>
        <w:rPr>
          <w:rFonts w:hint="eastAsia" w:asciiTheme="minorEastAsia" w:hAnsiTheme="minorEastAsia" w:eastAsiaTheme="minorEastAsia" w:cstheme="minorEastAsia"/>
          <w:sz w:val="32"/>
          <w:szCs w:val="32"/>
          <w:u w:val="single"/>
          <w:lang w:val="en-US" w:eastAsia="zh-CN"/>
        </w:rPr>
        <w:t xml:space="preserve">  </w:t>
      </w:r>
    </w:p>
    <w:p>
      <w:pPr>
        <w:ind w:left="0" w:leftChars="0" w:firstLine="640" w:firstLineChars="200"/>
        <w:rPr>
          <w:rFonts w:hint="default" w:eastAsiaTheme="minorEastAsia"/>
          <w:sz w:val="32"/>
          <w:szCs w:val="32"/>
          <w:lang w:val="en-US" w:eastAsia="zh-CN"/>
        </w:rPr>
      </w:pPr>
      <w:r>
        <w:rPr>
          <w:rFonts w:hint="eastAsia"/>
          <w:sz w:val="32"/>
          <w:szCs w:val="32"/>
          <w:lang w:eastAsia="zh-CN"/>
        </w:rPr>
        <w:t>采购人</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20"/>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2024</w:t>
      </w:r>
      <w:r>
        <w:rPr>
          <w:rFonts w:hint="eastAsia"/>
          <w:sz w:val="32"/>
          <w:szCs w:val="32"/>
        </w:rPr>
        <w:t>年</w:t>
      </w:r>
      <w:r>
        <w:rPr>
          <w:rFonts w:hint="eastAsia"/>
          <w:sz w:val="32"/>
          <w:szCs w:val="32"/>
          <w:lang w:val="en-US" w:eastAsia="zh-CN"/>
        </w:rPr>
        <w:t>2</w:t>
      </w:r>
      <w:r>
        <w:rPr>
          <w:rFonts w:hint="eastAsia"/>
          <w:sz w:val="32"/>
          <w:szCs w:val="32"/>
        </w:rPr>
        <w:t>月</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7"/>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4"/>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default"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7"/>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7"/>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7"/>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8</w:t>
      </w:r>
    </w:p>
    <w:p>
      <w:pPr>
        <w:rPr>
          <w:rFonts w:hint="eastAsia"/>
        </w:rPr>
      </w:pPr>
    </w:p>
    <w:p>
      <w:pPr>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20"/>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5"/>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5"/>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pStyle w:val="20"/>
        <w:pageBreakBefore w:val="0"/>
        <w:kinsoku/>
        <w:wordWrap/>
        <w:overflowPunct/>
        <w:topLinePunct w:val="0"/>
        <w:bidi w:val="0"/>
        <w:spacing w:line="340" w:lineRule="exact"/>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rPr>
        <w:t>用户需求书</w:t>
      </w:r>
    </w:p>
    <w:p>
      <w:pPr>
        <w:pStyle w:val="2"/>
        <w:widowControl w:val="0"/>
        <w:numPr>
          <w:ilvl w:val="0"/>
          <w:numId w:val="0"/>
        </w:numPr>
        <w:spacing w:before="25" w:after="25"/>
        <w:jc w:val="left"/>
        <w:rPr>
          <w:rFonts w:hint="eastAsia"/>
        </w:rPr>
      </w:pP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一、项目概况</w:t>
      </w:r>
    </w:p>
    <w:p>
      <w:pPr>
        <w:pStyle w:val="15"/>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left="0" w:leftChars="0" w:right="0" w:rightChars="0" w:firstLine="472" w:firstLineChars="225"/>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本项目为2024年监狱和公司办公用品采购项目，按采购程序选定1家供应商</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。根据资金来源分别</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签订合同</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，即</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按采购预算149320元签订监狱办公用品采购合同，按采购预算124560元签订公司办公用品采购合同。</w:t>
      </w:r>
    </w:p>
    <w:p>
      <w:pPr>
        <w:pStyle w:val="15"/>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left="0" w:leftChars="0" w:right="0" w:rightChars="0" w:firstLine="474" w:firstLineChars="225"/>
        <w:jc w:val="both"/>
        <w:textAlignment w:val="auto"/>
        <w:outlineLvl w:val="9"/>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二、预算金额：</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273880元</w:t>
      </w:r>
    </w:p>
    <w:p>
      <w:pPr>
        <w:pStyle w:val="15"/>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520" w:lineRule="exact"/>
        <w:ind w:left="0" w:leftChars="0" w:right="0" w:rightChars="0" w:firstLine="474" w:firstLineChars="225"/>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三、标的数量</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（以实际采购数量为准）</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0" w:leftChars="0" w:firstLine="474" w:firstLineChars="225"/>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四、采购项目清单、规格型号及最高限价：</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（见附件）</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left="0" w:leftChars="0" w:firstLine="474" w:firstLineChars="225"/>
        <w:jc w:val="both"/>
        <w:textAlignment w:val="auto"/>
        <w:outlineLvl w:val="9"/>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五、服务标准</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（一）本项目所涉及的货物必须为合法制造商制造的全新产品，整体无污染，表面无划损，无任何缺陷隐患，必须符合国家有关部门的质量要求，并按厂家提供的标准执行售后服务。</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（二）供应商须严格按商品的名称、规格型号、中标单价供货。</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（三）如供货商品的生产厂家停止生产该商品的，供应商应提前告知采购方，并提供相关证明，经采购方同意后方可更换同等品牌价格的货物。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firstLine="474" w:firstLineChars="225"/>
        <w:jc w:val="both"/>
        <w:textAlignment w:val="auto"/>
        <w:outlineLvl w:val="9"/>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六、服务期限</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：1年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firstLine="474" w:firstLineChars="225"/>
        <w:jc w:val="both"/>
        <w:textAlignment w:val="auto"/>
        <w:outlineLvl w:val="9"/>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七、支付方式</w:t>
      </w:r>
    </w:p>
    <w:p>
      <w:pPr>
        <w:keepNext w:val="0"/>
        <w:keepLines w:val="0"/>
        <w:pageBreakBefore w:val="0"/>
        <w:kinsoku/>
        <w:wordWrap/>
        <w:overflowPunct/>
        <w:topLinePunct w:val="0"/>
        <w:autoSpaceDE/>
        <w:autoSpaceDN/>
        <w:bidi w:val="0"/>
        <w:snapToGrid w:val="0"/>
        <w:spacing w:line="520" w:lineRule="exact"/>
        <w:ind w:left="0" w:leftChars="0" w:firstLine="472" w:firstLineChars="225"/>
        <w:contextualSpacing/>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原则上按季度实销实结，次季度第一个月10日前结清上季度货款，遇节假日或年底财务决算期间时间顺延。监狱部分的结算需</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提供</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增值税普通发票，公司部分的结算需</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提供</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增值税专用发票。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firstLine="474" w:firstLineChars="225"/>
        <w:jc w:val="both"/>
        <w:textAlignment w:val="auto"/>
        <w:outlineLvl w:val="9"/>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八、售后保障</w:t>
      </w:r>
    </w:p>
    <w:p>
      <w:pPr>
        <w:keepNext w:val="0"/>
        <w:keepLines w:val="0"/>
        <w:pageBreakBefore w:val="0"/>
        <w:kinsoku/>
        <w:wordWrap/>
        <w:overflowPunct/>
        <w:topLinePunct w:val="0"/>
        <w:autoSpaceDE/>
        <w:autoSpaceDN/>
        <w:bidi w:val="0"/>
        <w:spacing w:line="520" w:lineRule="exact"/>
        <w:ind w:left="0" w:leftChars="0" w:firstLine="472" w:firstLineChars="225"/>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（一）采购</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人</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订货后10个工作日内</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供应商</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根据订货</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清单按使用单位标识</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打包</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、运送、装卸到指定地点，并按要求发放到位</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；由供应商承担送货、打包标识、发放费用；采购</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人</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遇有临时送货需求时，供应商应在接到电话或书面通知后24小时内送达，紧急特殊情况应在接到电话或书面通知后2小时内送达。</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（二）为更好地履行合同，供应商在合同签订之日起30日内缴纳合同金额5%的履约保证金。若供应商没有违约行为，履约保证金在合同有效期满后30日内无息退还。</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1.发生以下情形之一，经查证属实的，发现一次扣除履约保证金1000元：</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（1）供应商擅自涨价、擅自更换品牌型号或以次充好的。</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（2）供应货物品种、规格、性能指标或功能等与合同不符的。</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（3）供应商选择性供货的，对不供货的商品没有提供生产厂家停止生产此商品相关证明的。</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（4）未按要求提供相关票证或提供虚假的相关票证的。</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（5）供应商员工进入监管区送货，违反监狱相关管理制度及保密义务的。</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default"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2.如发生3次（含3次）以上情形被扣除履约保证金的，采购</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人</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有权终止合同并没收全部履约保证金，一切后果由供应商承担。</w:t>
      </w:r>
    </w:p>
    <w:p>
      <w:pPr>
        <w:keepNext w:val="0"/>
        <w:keepLines w:val="0"/>
        <w:pageBreakBefore w:val="0"/>
        <w:kinsoku/>
        <w:wordWrap/>
        <w:overflowPunct/>
        <w:topLinePunct w:val="0"/>
        <w:autoSpaceDE/>
        <w:autoSpaceDN/>
        <w:bidi w:val="0"/>
        <w:spacing w:line="520" w:lineRule="exact"/>
        <w:ind w:firstLine="420" w:firstLineChars="200"/>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3.如合同执行中因供应商违约导致履约保证金部分扣除，供应商需在5个工作日内将扣除的履约保证金补齐。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firstLine="474" w:firstLineChars="225"/>
        <w:jc w:val="both"/>
        <w:textAlignment w:val="auto"/>
        <w:outlineLvl w:val="9"/>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九、验收标准</w:t>
      </w:r>
    </w:p>
    <w:p>
      <w:pPr>
        <w:keepNext w:val="0"/>
        <w:keepLines w:val="0"/>
        <w:pageBreakBefore w:val="0"/>
        <w:kinsoku/>
        <w:wordWrap/>
        <w:overflowPunct/>
        <w:topLinePunct w:val="0"/>
        <w:autoSpaceDE/>
        <w:autoSpaceDN/>
        <w:bidi w:val="0"/>
        <w:snapToGrid w:val="0"/>
        <w:spacing w:line="520" w:lineRule="exact"/>
        <w:ind w:firstLine="420" w:firstLineChars="200"/>
        <w:contextualSpacing/>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采购</w:t>
      </w:r>
      <w:r>
        <w:rPr>
          <w:rFonts w:hint="eastAsia" w:asciiTheme="minorEastAsia" w:hAnsiTheme="minorEastAsia" w:cstheme="minorEastAsia"/>
          <w:color w:val="000000" w:themeColor="text1"/>
          <w:kern w:val="2"/>
          <w:sz w:val="21"/>
          <w:szCs w:val="21"/>
          <w:lang w:val="en-US" w:eastAsia="zh-CN" w:bidi="ar-SA"/>
          <w14:textFill>
            <w14:solidFill>
              <w14:schemeClr w14:val="tx1"/>
            </w14:solidFill>
          </w14:textFill>
        </w:rPr>
        <w:t>人</w:t>
      </w: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根据有关国家行业所列标准及规范、规定及本项目要求组织有关部门验收，验收不合格的按合同约定处理。</w:t>
      </w:r>
    </w:p>
    <w:p>
      <w:pPr>
        <w:keepNext w:val="0"/>
        <w:keepLines w:val="0"/>
        <w:pageBreakBefore w:val="0"/>
        <w:kinsoku/>
        <w:wordWrap/>
        <w:overflowPunct/>
        <w:topLinePunct w:val="0"/>
        <w:autoSpaceDE/>
        <w:autoSpaceDN/>
        <w:bidi w:val="0"/>
        <w:snapToGrid w:val="0"/>
        <w:spacing w:line="520" w:lineRule="exact"/>
        <w:ind w:firstLine="420" w:firstLineChars="200"/>
        <w:contextualSpacing/>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snapToGrid w:val="0"/>
        <w:spacing w:line="520" w:lineRule="exact"/>
        <w:ind w:firstLine="420" w:firstLineChars="200"/>
        <w:contextualSpacing/>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附件：采购项目清单、规格型号及最高限价表</w:t>
      </w:r>
    </w:p>
    <w:tbl>
      <w:tblPr>
        <w:tblStyle w:val="18"/>
        <w:tblW w:w="8780" w:type="dxa"/>
        <w:tblInd w:w="0" w:type="dxa"/>
        <w:shd w:val="clear" w:color="auto" w:fill="auto"/>
        <w:tblLayout w:type="fixed"/>
        <w:tblCellMar>
          <w:top w:w="0" w:type="dxa"/>
          <w:left w:w="0" w:type="dxa"/>
          <w:bottom w:w="0" w:type="dxa"/>
          <w:right w:w="0" w:type="dxa"/>
        </w:tblCellMar>
      </w:tblPr>
      <w:tblGrid>
        <w:gridCol w:w="639"/>
        <w:gridCol w:w="2176"/>
        <w:gridCol w:w="4008"/>
        <w:gridCol w:w="766"/>
        <w:gridCol w:w="1191"/>
      </w:tblGrid>
      <w:tr>
        <w:tblPrEx>
          <w:shd w:val="clear" w:color="auto" w:fill="auto"/>
          <w:tblLayout w:type="fixed"/>
          <w:tblCellMar>
            <w:top w:w="0" w:type="dxa"/>
            <w:left w:w="0" w:type="dxa"/>
            <w:bottom w:w="0" w:type="dxa"/>
            <w:right w:w="0" w:type="dxa"/>
          </w:tblCellMar>
        </w:tblPrEx>
        <w:trPr>
          <w:trHeight w:val="657" w:hRule="atLeast"/>
        </w:trPr>
        <w:tc>
          <w:tcPr>
            <w:tcW w:w="878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b/>
                <w:bCs/>
                <w:sz w:val="32"/>
                <w:szCs w:val="32"/>
                <w:lang w:val="en-US" w:eastAsia="zh-CN"/>
              </w:rPr>
              <w:t>采购项目清单、规格型号及最高单价限价表</w:t>
            </w:r>
          </w:p>
        </w:tc>
      </w:tr>
      <w:tr>
        <w:tblPrEx>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商品名称</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品牌规格型号</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最高单价限价（元）</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晨光Q7中性笔0.5</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晨光Q7经典办公中性笔0.5mm12支装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得力签字笔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得力牌S656直液式走珠笔0.5mm12支装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晨光中性笔1.0</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晨光AGP13604中性笔1.0 12支装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晨光牌签字笔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晨光牌GP1111活力中性笔0.7mm 12支装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晨光中性笔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晨光GP-1008黑色中性按动笔0.5mm（12支装）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得力全针管中性笔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得力牌33663全针管中性笔0.38mm 24支装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晨光圆珠笔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晨光牌ABP64701圆珠笔0.7mm 10支装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得力固定式台笔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得力牌6796 可粘台式中性台笔0.5mm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大头笔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斑马牌MO-150-MC黑色大双头</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白板笔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齐心牌WB701白板笔</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铅笔</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中华6151HB（12支装）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铅笔刨</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得力牌0576削笔刀</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铅笔擦</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齐心牌 B2555大号橡皮擦</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笔筒</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得力牌9133多功能圆形笔筒</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小记事本</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得力牌A7记事本（96张内页）</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皮面笔记本</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齐心牌C5902笔记本A5 122页</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纸面笔记本</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晨光牌APYJS550无线装订本A5 60页 </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界刀</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得力牌2041大号美工刀</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剪刀</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得力牌6009大号黑色剪刀</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大瓶桨糊</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蝴蝶牌300g浆糊</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得力液体胶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得力牌7303液体胶125ml</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南韩15G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透明胶大卷</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晨光AJD97388大号透明胶</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透明胶小卷</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晨光AJD97369透明胶小卷</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双面胶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晨光牌双面胶24MM*10Y </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双面胶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晨光牌双面胶1.8CM*10m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钉书机</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得力牌0371省力钉书机</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29.33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可得优（KW-triO）省力钉书机</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可得优（KW-triO）5628省力钉书机大号</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钉书钉</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得力牌0012钉书针1000枚 24/6（常规）</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钉书钉</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得力牌0027钉书针24/8（长款）</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起钉器</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得力牌0231起钉器</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直尺</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 6230 30CM透明直尺</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卷尺</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三木牌6402卷尺</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回形针</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得力牌0018回形针</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复写纸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上海牌222 A4复写纸</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长尾夹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得力牌8551ES彩色长尾夹 50㎜ 12支装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12.33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长尾夹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得力牌8552ES彩色长尾夹 41㎜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24支装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长尾夹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得力牌8554ES彩色长尾夹 25㎜ 48支装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长尾夹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得力牌8555ES彩色长尾夹 19㎜ 40支装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长尾夹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得力牌8556ES彩色长尾夹 15㎜ 60支装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得力牌不锈钢票夹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得力牌9531山形不锈钢票据夹145mm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6.33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标签纸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劲牌BC-A45 A4白色哑面不干胶标贴打印纸50张/包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标签纸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递乐标签纸4623 60张/包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14.33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晨光3*3四分条自粘便条纸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晨光YS-13 3*3四分条自粘便条纸</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晨光3*3多彩自粘便条纸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晨光YS-10便条纸3*3  76*76MM  100页</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修正液</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得力牌7284修正液15ml</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计算器</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卡西欧GX-12B大号计算器</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74.33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橡皮筋</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得力牌3213实用橡皮筋100g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大传票绳（10个装）</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大传票绳（10个装），档案装订棉绳</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小卷红色包装绳</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小卷红色包装绳150克</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打孔机</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得力牌打孔机中号（单孔）</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文件袋</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得力牌拉链A4文件袋（10个装）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齐心牌轻便夹604,A4(AB600A)</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密封袋</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14*20cm 密封袋,100只/包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文件盒</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天星TX800</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晨光经济型抽杆夹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晨光ADM95105经济型抽杆夹 </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晨光资料册</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晨光95097 40页 上开口A4资料册</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办公台资料架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齐心B2174（四联）资料架</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快干印台</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齐心B3706（红色或蓝色）印台</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快干清洁印泥油</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工字牌431快干清洁印泥油</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原子印油（红色或蓝色）</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齐心B3713原子印油40ML</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湿手器</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得力牌9102湿手器</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印泥</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工字牌684印泥</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得力牌牛皮纸档案袋</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得力5953牛皮纸档案袋</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A4彩色纸（粉红色）</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广博牌80gA4粉红色办公纸</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电池</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金霸王5号（6粒装）电池</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电池</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金霸王7号（6粒装）电池</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漂白水</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蓝月亮漂白水600g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18.50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杀虫剂</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雷达柑桔香型600㏕</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电热蚊香液套装</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雷达电热蚊香液套装（2瓶+1器）100晚</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28.67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电热蚊香液</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榄菊电热蚊香液补充液（不含器），含量33ML，6瓶/盒</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46.00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电热蚊香片套装</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雷达电热蚊香片加热器+72片</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蚊香</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榄菊盘式蚊香（40单圈/筒)</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筒</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牙膏</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黑人双重薄荷120g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牙刷</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黑人碳丝软毛牙刷</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7.67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盒装纸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心相印茶语H200，190mm*210mm,2层200抽*3盒</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软抽纸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心相印3层M码150抽*6包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卷筒纸</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心相印茶语系列四层135G/卷*12卷</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挂壁式卷纸架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振兴牌挂壁式防水卷纸架</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防水防滑垫</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50cm*70cm出入平安防水防滑垫</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26.00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珠江牌加厚强力桶18L（无盖）</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洗发水</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海飞丝丝质柔滑型750ML</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沐浴露</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舒肤佳柠檬清新720ML</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挂钟</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天王星SH708圆形挂钟14英寸</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127.67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插座</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公牛GN-606 3位3米延长线插座</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插座</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公牛GN-602 5位3米延长线插座</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手推车</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静音平板折叠手推车70*50cm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手推车</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静音平板折叠手推车90*60cm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231.67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冲茶壶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金灶TP-200 1000ML冲茶壶</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51.67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金灶电热水壶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金灶T-210电热水壶304钢1.2升</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93.33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金灶电热水壶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金灶T-218电热水壶304钢1.8升</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135.00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一次性塑料杯</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妙洁一次性塑料杯加厚240ml每包100只</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筒装竹牙签</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双头筒装竹牙签（350支)</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塑料高脚凳</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珠江牌高脚凳加厚款大号（47厘米高）</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塑料矮脚凳</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珠江牌矮脚凳加厚款小号（23厘米高）</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胶手套</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美丽雅加长耐用丁腈洗衣手套，长32cm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保暖加长胶手套</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美丽雅保暖加长胶手套HC017412</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一次性手套</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芳草地3G5955一次性手套100只/包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7.00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茶花15011K圆型脚踏卫生桶(9.6升）</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62.33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旋风拖套装</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好媳妇AGW-7400A-1旋风拖（套装，含2个拖把头）</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92.33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拖把</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好媳妇3271纤维吸水拖把（1杆+2个拖把头）</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40.00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地拖桶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珠塑牌1234加厚塑料挤水地拖桶，尺寸：400*200*300mm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37.67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扫把</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普通塑料硬毛大号扫把</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垃圾斗</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茶花欧式带柄畚斗</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小水桶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茶花0209小水桶内径26㎝</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红色加厚36cm、50只/扎</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扎</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大垃圾袋</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黑色大垃圾袋80*100，50只/扎</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扎</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洗洁精</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立白清新柠檬洗洁精1KG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蓝月亮野菊花消毒洗手液500g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洁厕剂</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威猛先生洁厕液清香型500g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厕所刷</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振兴SA125马桶刷</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厕所疏通器</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茶花4321厕所疏通器</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纸篓</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茶花1525废纸篓</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16.67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塑料面盆</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茶花0505精美盆直径27CM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11.33 </w:t>
            </w:r>
          </w:p>
        </w:tc>
      </w:tr>
      <w:tr>
        <w:tblPrEx>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清洁钢丝球</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妙洁金属钢丝球2只装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5.00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清洁海绵</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妙洁海绵百洁布2片装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5.33 </w:t>
            </w:r>
          </w:p>
        </w:tc>
      </w:tr>
      <w:tr>
        <w:tblPrEx>
          <w:shd w:val="clear" w:color="auto" w:fill="auto"/>
          <w:tblLayout w:type="fixed"/>
          <w:tblCellMar>
            <w:top w:w="0" w:type="dxa"/>
            <w:left w:w="0" w:type="dxa"/>
            <w:bottom w:w="0" w:type="dxa"/>
            <w:right w:w="0" w:type="dxa"/>
          </w:tblCellMar>
        </w:tblPrEx>
        <w:trPr>
          <w:trHeight w:val="37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洗碗巾</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洁丽雅洗碗巾28*28CM，5条装</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12.67 </w:t>
            </w:r>
          </w:p>
        </w:tc>
      </w:tr>
      <w:tr>
        <w:tblPrEx>
          <w:shd w:val="clear" w:color="auto" w:fill="auto"/>
          <w:tblLayout w:type="fixed"/>
          <w:tblCellMar>
            <w:top w:w="0" w:type="dxa"/>
            <w:left w:w="0" w:type="dxa"/>
            <w:bottom w:w="0" w:type="dxa"/>
            <w:right w:w="0" w:type="dxa"/>
          </w:tblCellMar>
        </w:tblPrEx>
        <w:trPr>
          <w:trHeight w:val="429"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毛巾</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洁丽雅6717洗脸面巾</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16.00 </w:t>
            </w:r>
          </w:p>
        </w:tc>
      </w:tr>
      <w:tr>
        <w:tblPrEx>
          <w:tblLayout w:type="fixed"/>
          <w:tblCellMar>
            <w:top w:w="0" w:type="dxa"/>
            <w:left w:w="0" w:type="dxa"/>
            <w:bottom w:w="0" w:type="dxa"/>
            <w:right w:w="0" w:type="dxa"/>
          </w:tblCellMar>
        </w:tblPrEx>
        <w:trPr>
          <w:trHeight w:val="429"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茶巾</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加厚吸水茶巾30*30</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5.33 </w:t>
            </w:r>
          </w:p>
        </w:tc>
      </w:tr>
      <w:tr>
        <w:tblPrEx>
          <w:shd w:val="clear" w:color="auto" w:fill="auto"/>
          <w:tblLayout w:type="fixed"/>
          <w:tblCellMar>
            <w:top w:w="0" w:type="dxa"/>
            <w:left w:w="0" w:type="dxa"/>
            <w:bottom w:w="0" w:type="dxa"/>
            <w:right w:w="0" w:type="dxa"/>
          </w:tblCellMar>
        </w:tblPrEx>
        <w:trPr>
          <w:trHeight w:val="429"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洗衣粉</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立白洗衣粉408G</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6.33 </w:t>
            </w:r>
          </w:p>
        </w:tc>
      </w:tr>
      <w:tr>
        <w:tblPrEx>
          <w:shd w:val="clear" w:color="auto" w:fill="auto"/>
          <w:tblLayout w:type="fixed"/>
          <w:tblCellMar>
            <w:top w:w="0" w:type="dxa"/>
            <w:left w:w="0" w:type="dxa"/>
            <w:bottom w:w="0" w:type="dxa"/>
            <w:right w:w="0" w:type="dxa"/>
          </w:tblCellMar>
        </w:tblPrEx>
        <w:trPr>
          <w:trHeight w:val="429"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会议杯</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陶瓷杯带盖优等品(口径为8CM）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15.33 </w:t>
            </w:r>
          </w:p>
        </w:tc>
      </w:tr>
      <w:tr>
        <w:tblPrEx>
          <w:shd w:val="clear" w:color="auto" w:fill="auto"/>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茶水桶</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金灶牌P-302（带盖无其它配件），容量6.5L,尺寸290mm*215mm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36.33 </w:t>
            </w:r>
          </w:p>
        </w:tc>
      </w:tr>
      <w:tr>
        <w:tblPrEx>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会议用织布袋</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齐心牌织布袋可手提 A1670黑色,牛津布，尺寸：380mm*325mm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14.50 </w:t>
            </w:r>
          </w:p>
        </w:tc>
      </w:tr>
      <w:tr>
        <w:tblPrEx>
          <w:tblLayout w:type="fixed"/>
          <w:tblCellMar>
            <w:top w:w="0" w:type="dxa"/>
            <w:left w:w="0" w:type="dxa"/>
            <w:bottom w:w="0" w:type="dxa"/>
            <w:right w:w="0" w:type="dxa"/>
          </w:tblCellMar>
        </w:tblPrEx>
        <w:trPr>
          <w:trHeight w:val="66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海绵拖把</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好媳妇海绵拖把AGW-4833 大号 海绵长度33CM</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80.00 </w:t>
            </w:r>
          </w:p>
        </w:tc>
      </w:tr>
      <w:tr>
        <w:tblPrEx>
          <w:shd w:val="clear" w:color="auto" w:fill="auto"/>
          <w:tblLayout w:type="fixed"/>
          <w:tblCellMar>
            <w:top w:w="0" w:type="dxa"/>
            <w:left w:w="0" w:type="dxa"/>
            <w:bottom w:w="0" w:type="dxa"/>
            <w:right w:w="0" w:type="dxa"/>
          </w:tblCellMar>
        </w:tblPrEx>
        <w:trPr>
          <w:trHeight w:val="720" w:hRule="atLeast"/>
        </w:trPr>
        <w:tc>
          <w:tcPr>
            <w:tcW w:w="6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217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折叠小拉车</w:t>
            </w:r>
          </w:p>
        </w:tc>
        <w:tc>
          <w:tcPr>
            <w:tcW w:w="40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易牌折叠便携手拉车P-12B，铝拉杆，塑料底盘，折叠尺寸：长32cm*厚12.5cm*高50cm</w:t>
            </w:r>
          </w:p>
        </w:tc>
        <w:tc>
          <w:tcPr>
            <w:tcW w:w="7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162.67 </w:t>
            </w:r>
          </w:p>
        </w:tc>
      </w:tr>
      <w:tr>
        <w:tblPrEx>
          <w:shd w:val="clear" w:color="auto" w:fill="auto"/>
          <w:tblLayout w:type="fixed"/>
          <w:tblCellMar>
            <w:top w:w="0" w:type="dxa"/>
            <w:left w:w="0" w:type="dxa"/>
            <w:bottom w:w="0" w:type="dxa"/>
            <w:right w:w="0" w:type="dxa"/>
          </w:tblCellMar>
        </w:tblPrEx>
        <w:trPr>
          <w:trHeight w:val="761"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2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真空杯</w:t>
            </w:r>
          </w:p>
        </w:tc>
        <w:tc>
          <w:tcPr>
            <w:tcW w:w="40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富光牌经典五型真空杯420ML,型号：FGL-3576</w:t>
            </w:r>
          </w:p>
        </w:tc>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19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62.67 </w:t>
            </w:r>
          </w:p>
        </w:tc>
      </w:tr>
    </w:tbl>
    <w:p>
      <w:pPr>
        <w:keepNext w:val="0"/>
        <w:keepLines w:val="0"/>
        <w:pageBreakBefore w:val="0"/>
        <w:kinsoku/>
        <w:wordWrap/>
        <w:overflowPunct/>
        <w:topLinePunct w:val="0"/>
        <w:autoSpaceDE/>
        <w:autoSpaceDN/>
        <w:bidi w:val="0"/>
        <w:snapToGrid w:val="0"/>
        <w:spacing w:line="520" w:lineRule="exact"/>
        <w:ind w:firstLine="420" w:firstLineChars="200"/>
        <w:contextualSpacing/>
        <w:jc w:val="both"/>
        <w:textAlignment w:val="auto"/>
        <w:outlineLvl w:val="9"/>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20"/>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20"/>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36"/>
          <w:szCs w:val="36"/>
          <w:u w:val="none"/>
          <w:lang w:val="en-US" w:eastAsia="zh-CN"/>
        </w:rPr>
      </w:pPr>
      <w:r>
        <w:rPr>
          <w:rFonts w:hint="eastAsia" w:asciiTheme="minorEastAsia" w:hAnsiTheme="minorEastAsia" w:cstheme="minorEastAsia"/>
          <w:b/>
          <w:bCs/>
          <w:sz w:val="36"/>
          <w:szCs w:val="36"/>
          <w:u w:val="none"/>
          <w:lang w:val="en-US" w:eastAsia="zh-CN"/>
        </w:rPr>
        <w:t>广东省河源监狱2024年办公用品（含公司）采购项目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20"/>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10"/>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w:t>
      </w:r>
      <w:r>
        <w:rPr>
          <w:rFonts w:hint="eastAsia" w:asciiTheme="minorEastAsia" w:hAnsiTheme="minorEastAsia" w:cstheme="minorEastAsia"/>
          <w:b w:val="0"/>
          <w:bCs w:val="0"/>
          <w:color w:val="000000"/>
          <w:sz w:val="32"/>
          <w:szCs w:val="32"/>
          <w:lang w:val="en-US" w:eastAsia="zh-CN"/>
        </w:rPr>
        <w:t>6</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Style w:val="20"/>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right="893"/>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3"/>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3"/>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6"/>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广东省河源监狱2024年办公用品（含公司）采购项目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lang w:val="en-US" w:eastAsia="zh-CN"/>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10"/>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sz w:val="21"/>
          <w:szCs w:val="21"/>
          <w:u w:val="single"/>
          <w:lang w:val="en-US" w:eastAsia="zh-CN"/>
        </w:rPr>
        <w:t>广东省河源监狱</w:t>
      </w:r>
      <w:r>
        <w:rPr>
          <w:rFonts w:hint="eastAsia" w:asciiTheme="minorEastAsia" w:hAnsiTheme="minorEastAsia" w:cstheme="minorEastAsia"/>
          <w:sz w:val="21"/>
          <w:szCs w:val="21"/>
          <w:u w:val="single"/>
          <w:lang w:val="en-US" w:eastAsia="zh-CN"/>
        </w:rPr>
        <w:t>2024年办公用品（含公司）采购项目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10"/>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0"/>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10"/>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10"/>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广东省河源监狱2024年办公用品（含公司）采购项目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0"/>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0"/>
        </w:numPr>
        <w:kinsoku/>
        <w:wordWrap/>
        <w:overflowPunct/>
        <w:topLinePunct w:val="0"/>
        <w:bidi w:val="0"/>
        <w:snapToGrid w:val="0"/>
        <w:spacing w:line="340" w:lineRule="exact"/>
        <w:ind w:left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cstheme="minorEastAsia"/>
          <w:b/>
          <w:color w:val="000000" w:themeColor="text1"/>
          <w:sz w:val="28"/>
          <w:szCs w:val="28"/>
          <w:lang w:val="en-US" w:eastAsia="zh-CN"/>
          <w14:textFill>
            <w14:solidFill>
              <w14:schemeClr w14:val="tx1"/>
            </w14:solidFill>
          </w14:textFill>
        </w:rPr>
        <w:t>二</w:t>
      </w:r>
      <w:r>
        <w:rPr>
          <w:rFonts w:hint="eastAsia" w:asciiTheme="minorEastAsia" w:hAnsiTheme="minorEastAsia" w:cstheme="minorEastAsia"/>
          <w:b/>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10"/>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10"/>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cstheme="minorEastAsia"/>
          <w:b/>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9"/>
        <w:tblW w:w="8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1308"/>
        <w:gridCol w:w="3360"/>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2092"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项目名称</w:t>
            </w:r>
          </w:p>
        </w:tc>
        <w:tc>
          <w:tcPr>
            <w:tcW w:w="1308"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hAnsi="宋体" w:cstheme="minorBidi"/>
                <w:b/>
                <w:bCs w:val="0"/>
                <w:color w:val="auto"/>
                <w:spacing w:val="4"/>
                <w:kern w:val="2"/>
                <w:sz w:val="21"/>
                <w:szCs w:val="21"/>
                <w:u w:val="none"/>
                <w:lang w:val="en-US" w:eastAsia="zh-CN" w:bidi="ar-SA"/>
              </w:rPr>
              <w:t>数量</w:t>
            </w:r>
          </w:p>
        </w:tc>
        <w:tc>
          <w:tcPr>
            <w:tcW w:w="3360" w:type="dxa"/>
            <w:vAlign w:val="center"/>
          </w:tcPr>
          <w:p>
            <w:pPr>
              <w:pStyle w:val="10"/>
              <w:pageBreakBefore w:val="0"/>
              <w:kinsoku/>
              <w:wordWrap/>
              <w:overflowPunct/>
              <w:topLinePunct w:val="0"/>
              <w:bidi w:val="0"/>
              <w:spacing w:line="340" w:lineRule="exact"/>
              <w:jc w:val="center"/>
              <w:rPr>
                <w:rFonts w:hint="eastAsia"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下浮率报价</w:t>
            </w:r>
          </w:p>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w:t>
            </w:r>
          </w:p>
        </w:tc>
        <w:tc>
          <w:tcPr>
            <w:tcW w:w="1544"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bCs w:val="0"/>
                <w:color w:val="auto"/>
                <w:spacing w:val="4"/>
                <w:kern w:val="2"/>
                <w:sz w:val="21"/>
                <w:szCs w:val="21"/>
                <w:u w:val="none"/>
                <w:lang w:val="en-US" w:eastAsia="zh-CN" w:bidi="ar-SA"/>
              </w:rPr>
            </w:pPr>
            <w:r>
              <w:rPr>
                <w:rFonts w:hint="eastAsia" w:ascii="宋体" w:hAnsi="宋体" w:eastAsiaTheme="minorEastAsia" w:cstheme="minorBidi"/>
                <w:b/>
                <w:bCs w:val="0"/>
                <w:color w:val="auto"/>
                <w:spacing w:val="4"/>
                <w:kern w:val="2"/>
                <w:sz w:val="21"/>
                <w:szCs w:val="21"/>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1" w:hRule="atLeast"/>
          <w:jc w:val="center"/>
        </w:trPr>
        <w:tc>
          <w:tcPr>
            <w:tcW w:w="2092" w:type="dxa"/>
            <w:vAlign w:val="center"/>
          </w:tcPr>
          <w:p>
            <w:pPr>
              <w:pStyle w:val="10"/>
              <w:pageBreakBefore w:val="0"/>
              <w:kinsoku/>
              <w:wordWrap/>
              <w:overflowPunct/>
              <w:topLinePunct w:val="0"/>
              <w:bidi w:val="0"/>
              <w:spacing w:line="340" w:lineRule="exact"/>
              <w:jc w:val="both"/>
              <w:rPr>
                <w:rFonts w:hint="eastAsia" w:ascii="宋体" w:hAnsi="宋体" w:eastAsiaTheme="minorEastAsia" w:cstheme="minorBidi"/>
                <w:b w:val="0"/>
                <w:bCs/>
                <w:color w:val="auto"/>
                <w:spacing w:val="4"/>
                <w:kern w:val="2"/>
                <w:sz w:val="21"/>
                <w:szCs w:val="21"/>
                <w:u w:val="none"/>
                <w:lang w:val="en-US" w:eastAsia="zh-CN" w:bidi="ar-SA"/>
              </w:rPr>
            </w:pPr>
            <w:r>
              <w:rPr>
                <w:rFonts w:hint="eastAsia" w:ascii="宋体" w:hAnsi="宋体" w:eastAsiaTheme="minorEastAsia" w:cstheme="minorBidi"/>
                <w:b w:val="0"/>
                <w:bCs/>
                <w:color w:val="auto"/>
                <w:spacing w:val="4"/>
                <w:kern w:val="2"/>
                <w:sz w:val="21"/>
                <w:szCs w:val="21"/>
                <w:u w:val="none"/>
                <w:lang w:val="en-US" w:eastAsia="zh-CN" w:bidi="ar-SA"/>
              </w:rPr>
              <w:t>广东省河源监狱</w:t>
            </w:r>
            <w:r>
              <w:rPr>
                <w:rFonts w:hint="eastAsia" w:hAnsi="宋体" w:cstheme="minorBidi"/>
                <w:b w:val="0"/>
                <w:bCs/>
                <w:color w:val="auto"/>
                <w:spacing w:val="4"/>
                <w:kern w:val="2"/>
                <w:sz w:val="21"/>
                <w:szCs w:val="21"/>
                <w:u w:val="none"/>
                <w:lang w:val="en-US" w:eastAsia="zh-CN" w:bidi="ar-SA"/>
              </w:rPr>
              <w:t>2024年办公用品（含公司）采购项目</w:t>
            </w:r>
          </w:p>
        </w:tc>
        <w:tc>
          <w:tcPr>
            <w:tcW w:w="1308" w:type="dxa"/>
            <w:vAlign w:val="center"/>
          </w:tcPr>
          <w:p>
            <w:pPr>
              <w:pStyle w:val="10"/>
              <w:pageBreakBefore w:val="0"/>
              <w:kinsoku/>
              <w:wordWrap/>
              <w:overflowPunct/>
              <w:topLinePunct w:val="0"/>
              <w:bidi w:val="0"/>
              <w:spacing w:line="340" w:lineRule="exact"/>
              <w:jc w:val="center"/>
              <w:rPr>
                <w:rFonts w:hint="default" w:ascii="宋体" w:hAnsi="宋体" w:eastAsiaTheme="minorEastAsia"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1批</w:t>
            </w:r>
          </w:p>
        </w:tc>
        <w:tc>
          <w:tcPr>
            <w:tcW w:w="3360" w:type="dxa"/>
            <w:vAlign w:val="center"/>
          </w:tcPr>
          <w:p>
            <w:pPr>
              <w:pStyle w:val="10"/>
              <w:pageBreakBefore w:val="0"/>
              <w:kinsoku/>
              <w:wordWrap/>
              <w:overflowPunct/>
              <w:topLinePunct w:val="0"/>
              <w:bidi w:val="0"/>
              <w:spacing w:line="340" w:lineRule="exact"/>
              <w:jc w:val="both"/>
              <w:rPr>
                <w:rFonts w:hint="eastAsia" w:hAnsi="宋体"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小写：</w:t>
            </w:r>
          </w:p>
          <w:p>
            <w:pPr>
              <w:pStyle w:val="10"/>
              <w:pageBreakBefore w:val="0"/>
              <w:kinsoku/>
              <w:wordWrap/>
              <w:overflowPunct/>
              <w:topLinePunct w:val="0"/>
              <w:bidi w:val="0"/>
              <w:spacing w:line="340" w:lineRule="exact"/>
              <w:jc w:val="both"/>
              <w:rPr>
                <w:rFonts w:hint="eastAsia" w:hAnsi="宋体" w:cstheme="minorBidi"/>
                <w:b w:val="0"/>
                <w:bCs/>
                <w:color w:val="auto"/>
                <w:spacing w:val="4"/>
                <w:kern w:val="2"/>
                <w:sz w:val="21"/>
                <w:szCs w:val="21"/>
                <w:u w:val="none"/>
                <w:lang w:val="en-US" w:eastAsia="zh-CN" w:bidi="ar-SA"/>
              </w:rPr>
            </w:pPr>
          </w:p>
          <w:p>
            <w:pPr>
              <w:pStyle w:val="10"/>
              <w:pageBreakBefore w:val="0"/>
              <w:kinsoku/>
              <w:wordWrap/>
              <w:overflowPunct/>
              <w:topLinePunct w:val="0"/>
              <w:bidi w:val="0"/>
              <w:spacing w:line="340" w:lineRule="exact"/>
              <w:jc w:val="both"/>
              <w:rPr>
                <w:rFonts w:hint="default" w:ascii="宋体" w:hAnsi="宋体" w:eastAsiaTheme="minorEastAsia" w:cstheme="minorBidi"/>
                <w:b w:val="0"/>
                <w:bCs/>
                <w:color w:val="auto"/>
                <w:spacing w:val="4"/>
                <w:kern w:val="2"/>
                <w:sz w:val="21"/>
                <w:szCs w:val="21"/>
                <w:u w:val="none"/>
                <w:lang w:val="en-US" w:eastAsia="zh-CN" w:bidi="ar-SA"/>
              </w:rPr>
            </w:pPr>
            <w:r>
              <w:rPr>
                <w:rFonts w:hint="eastAsia" w:hAnsi="宋体" w:cstheme="minorBidi"/>
                <w:b w:val="0"/>
                <w:bCs/>
                <w:color w:val="auto"/>
                <w:spacing w:val="4"/>
                <w:kern w:val="2"/>
                <w:sz w:val="21"/>
                <w:szCs w:val="21"/>
                <w:u w:val="none"/>
                <w:lang w:val="en-US" w:eastAsia="zh-CN" w:bidi="ar-SA"/>
              </w:rPr>
              <w:t>大写：百分之</w:t>
            </w:r>
          </w:p>
          <w:p>
            <w:pPr>
              <w:pStyle w:val="10"/>
              <w:pageBreakBefore w:val="0"/>
              <w:kinsoku/>
              <w:wordWrap/>
              <w:overflowPunct/>
              <w:topLinePunct w:val="0"/>
              <w:bidi w:val="0"/>
              <w:spacing w:line="340" w:lineRule="exact"/>
              <w:jc w:val="center"/>
              <w:rPr>
                <w:rFonts w:hint="eastAsia" w:ascii="宋体" w:hAnsi="宋体" w:eastAsiaTheme="minorEastAsia" w:cstheme="minorBidi"/>
                <w:b w:val="0"/>
                <w:bCs/>
                <w:color w:val="auto"/>
                <w:spacing w:val="4"/>
                <w:kern w:val="2"/>
                <w:sz w:val="21"/>
                <w:szCs w:val="21"/>
                <w:u w:val="none"/>
                <w:lang w:val="en-US" w:eastAsia="zh-CN" w:bidi="ar-SA"/>
              </w:rPr>
            </w:pPr>
          </w:p>
        </w:tc>
        <w:tc>
          <w:tcPr>
            <w:tcW w:w="1544" w:type="dxa"/>
            <w:vAlign w:val="center"/>
          </w:tcPr>
          <w:p>
            <w:pPr>
              <w:pStyle w:val="10"/>
              <w:pageBreakBefore w:val="0"/>
              <w:kinsoku/>
              <w:wordWrap/>
              <w:overflowPunct/>
              <w:topLinePunct w:val="0"/>
              <w:bidi w:val="0"/>
              <w:spacing w:line="340" w:lineRule="exact"/>
              <w:jc w:val="center"/>
              <w:rPr>
                <w:rFonts w:hint="eastAsia" w:ascii="宋体" w:hAnsi="宋体" w:eastAsiaTheme="minorEastAsia" w:cstheme="minorBidi"/>
                <w:b w:val="0"/>
                <w:bCs/>
                <w:color w:val="auto"/>
                <w:spacing w:val="4"/>
                <w:kern w:val="2"/>
                <w:sz w:val="21"/>
                <w:szCs w:val="21"/>
                <w:u w:val="none"/>
                <w:lang w:val="en-US" w:eastAsia="zh-CN" w:bidi="ar-SA"/>
              </w:rPr>
            </w:pPr>
          </w:p>
        </w:tc>
      </w:tr>
    </w:tbl>
    <w:p>
      <w:pPr>
        <w:pStyle w:val="10"/>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w:t>
      </w:r>
      <w:bookmarkStart w:id="0" w:name="_GoBack"/>
      <w:bookmarkEnd w:id="0"/>
      <w:r>
        <w:rPr>
          <w:rFonts w:hint="eastAsia" w:ascii="宋体" w:hAnsi="宋体"/>
          <w:b w:val="0"/>
          <w:bCs/>
          <w:color w:val="auto"/>
          <w:spacing w:val="4"/>
          <w:sz w:val="21"/>
          <w:szCs w:val="21"/>
          <w:u w:val="none"/>
        </w:rPr>
        <w:t>，不得增加或删除表格内容。除单价、金额或项目要求填写的内容外，不得擅自改动报价表内容，否则将有可能影响成交结果，不推荐为成交候选人；</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b w:val="0"/>
          <w:bCs/>
          <w:color w:val="auto"/>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包含产品价格、</w:t>
      </w:r>
      <w:r>
        <w:rPr>
          <w:rFonts w:hint="eastAsia" w:ascii="宋体" w:hAnsi="宋体"/>
          <w:b w:val="0"/>
          <w:bCs/>
          <w:spacing w:val="4"/>
          <w:sz w:val="21"/>
          <w:szCs w:val="21"/>
          <w:u w:val="none"/>
          <w:lang w:val="en-US" w:eastAsia="zh-CN"/>
        </w:rPr>
        <w:t>运输、安装、</w:t>
      </w:r>
      <w:r>
        <w:rPr>
          <w:rFonts w:hint="eastAsia" w:ascii="宋体" w:hAnsi="宋体"/>
          <w:b w:val="0"/>
          <w:bCs/>
          <w:spacing w:val="4"/>
          <w:sz w:val="21"/>
          <w:szCs w:val="21"/>
          <w:u w:val="none"/>
        </w:rPr>
        <w:t>税金等一切费用</w:t>
      </w:r>
      <w:r>
        <w:rPr>
          <w:rFonts w:hint="eastAsia" w:ascii="宋体" w:hAnsi="宋体"/>
          <w:b w:val="0"/>
          <w:bCs/>
          <w:spacing w:val="4"/>
          <w:sz w:val="21"/>
          <w:szCs w:val="21"/>
          <w:u w:val="none"/>
          <w:lang w:val="en-US" w:eastAsia="zh-CN"/>
        </w:rPr>
        <w:t>；</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rPr>
        <w:t>合同物品单价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ascii="宋体" w:hAnsi="宋体"/>
          <w:b w:val="0"/>
          <w:bCs/>
          <w:color w:val="auto"/>
          <w:u w:val="none"/>
        </w:rPr>
        <w:t>；</w:t>
      </w:r>
      <w:r>
        <w:rPr>
          <w:rFonts w:hint="eastAsia" w:ascii="宋体" w:hAnsi="宋体"/>
          <w:b w:val="0"/>
          <w:bCs/>
          <w:color w:val="auto"/>
          <w:u w:val="none"/>
          <w:lang w:val="en-US" w:eastAsia="zh-CN"/>
        </w:rPr>
        <w:t>签订合同时，</w:t>
      </w:r>
      <w:r>
        <w:rPr>
          <w:rFonts w:hint="eastAsia" w:asciiTheme="minorEastAsia" w:hAnsiTheme="minorEastAsia" w:eastAsiaTheme="minorEastAsia"/>
          <w:b w:val="0"/>
          <w:bCs/>
          <w:color w:val="auto"/>
          <w:sz w:val="21"/>
          <w:szCs w:val="21"/>
          <w:highlight w:val="none"/>
          <w:u w:val="none"/>
        </w:rPr>
        <w:t>下浮后单价保留</w:t>
      </w:r>
      <w:r>
        <w:rPr>
          <w:rFonts w:hint="eastAsia" w:asciiTheme="minorEastAsia" w:hAnsiTheme="minorEastAsia"/>
          <w:b w:val="0"/>
          <w:bCs/>
          <w:color w:val="auto"/>
          <w:sz w:val="21"/>
          <w:szCs w:val="21"/>
          <w:highlight w:val="none"/>
          <w:u w:val="none"/>
          <w:lang w:val="en-US" w:eastAsia="zh-CN"/>
        </w:rPr>
        <w:t>两</w:t>
      </w:r>
      <w:r>
        <w:rPr>
          <w:rFonts w:hint="eastAsia" w:asciiTheme="minorEastAsia" w:hAnsiTheme="minorEastAsia" w:eastAsiaTheme="minorEastAsia"/>
          <w:b w:val="0"/>
          <w:bCs/>
          <w:color w:val="auto"/>
          <w:sz w:val="21"/>
          <w:szCs w:val="21"/>
          <w:highlight w:val="none"/>
          <w:u w:val="none"/>
        </w:rPr>
        <w:t>位小数点（四舍五入）；</w:t>
      </w:r>
      <w:r>
        <w:rPr>
          <w:rFonts w:ascii="宋体" w:hAnsi="宋体"/>
          <w:b w:val="0"/>
          <w:bCs/>
          <w:color w:val="auto"/>
          <w:u w:val="none"/>
        </w:rPr>
        <w:t>在本项目合同服务履行期间，该下浮率不作另行调整；</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val="0"/>
          <w:bCs/>
          <w:color w:val="auto"/>
          <w:sz w:val="21"/>
          <w:szCs w:val="21"/>
        </w:rPr>
        <w:t>本项目不接受有选择性的报价，只允许报一个下浮率，所报的下浮率适用</w:t>
      </w:r>
      <w:r>
        <w:rPr>
          <w:rFonts w:hint="eastAsia" w:asciiTheme="minorEastAsia" w:hAnsiTheme="minorEastAsia" w:cstheme="minorEastAsia"/>
          <w:b w:val="0"/>
          <w:bCs/>
          <w:color w:val="auto"/>
          <w:sz w:val="21"/>
          <w:szCs w:val="21"/>
          <w:lang w:val="en-US" w:eastAsia="zh-CN"/>
        </w:rPr>
        <w:t>采购清单</w:t>
      </w:r>
      <w:r>
        <w:rPr>
          <w:rFonts w:hint="eastAsia" w:asciiTheme="minorEastAsia" w:hAnsiTheme="minorEastAsia" w:eastAsiaTheme="minorEastAsia" w:cstheme="minorEastAsia"/>
          <w:b w:val="0"/>
          <w:bCs/>
          <w:color w:val="auto"/>
          <w:sz w:val="21"/>
          <w:szCs w:val="21"/>
        </w:rPr>
        <w:t>所有</w:t>
      </w:r>
      <w:r>
        <w:rPr>
          <w:rFonts w:hint="eastAsia" w:asciiTheme="minorEastAsia" w:hAnsiTheme="minorEastAsia" w:cstheme="minorEastAsia"/>
          <w:b w:val="0"/>
          <w:bCs/>
          <w:color w:val="auto"/>
          <w:sz w:val="21"/>
          <w:szCs w:val="21"/>
          <w:lang w:val="en-US" w:eastAsia="zh-CN"/>
        </w:rPr>
        <w:t>商品</w:t>
      </w:r>
      <w:r>
        <w:rPr>
          <w:rFonts w:hint="eastAsia" w:asciiTheme="minorEastAsia" w:hAnsiTheme="minorEastAsia" w:eastAsiaTheme="minorEastAsia" w:cstheme="minorEastAsia"/>
          <w:b w:val="0"/>
          <w:bCs/>
          <w:color w:val="auto"/>
          <w:sz w:val="21"/>
          <w:szCs w:val="21"/>
          <w:lang w:eastAsia="zh-CN"/>
        </w:rPr>
        <w:t>。</w:t>
      </w:r>
    </w:p>
    <w:p>
      <w:pPr>
        <w:pStyle w:val="15"/>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20"/>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年</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月</w:t>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日</w:t>
      </w:r>
    </w:p>
    <w:p>
      <w:pPr>
        <w:pageBreakBefore w:val="0"/>
        <w:kinsoku/>
        <w:wordWrap/>
        <w:overflowPunct/>
        <w:topLinePunct w:val="0"/>
        <w:bidi w:val="0"/>
        <w:spacing w:beforeLines="50"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0"/>
        <w:pageBreakBefore w:val="0"/>
        <w:numPr>
          <w:ilvl w:val="0"/>
          <w:numId w:val="0"/>
        </w:numPr>
        <w:kinsoku/>
        <w:wordWrap/>
        <w:overflowPunct/>
        <w:topLinePunct w:val="0"/>
        <w:bidi w:val="0"/>
        <w:spacing w:line="340" w:lineRule="exact"/>
        <w:ind w:leftChars="0"/>
        <w:jc w:val="both"/>
        <w:rPr>
          <w:rFonts w:hint="default" w:asciiTheme="minorEastAsia" w:hAnsiTheme="minorEastAsia" w:cstheme="minorEastAsia"/>
          <w:b/>
          <w:color w:val="000000" w:themeColor="text1"/>
          <w:sz w:val="32"/>
          <w:szCs w:val="32"/>
          <w:lang w:val="en-US" w:eastAsia="zh-CN"/>
          <w14:textFill>
            <w14:solidFill>
              <w14:schemeClr w14:val="tx1"/>
            </w14:solidFill>
          </w14:textFill>
        </w:rPr>
      </w:pP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3A28"/>
    <w:rsid w:val="007A3658"/>
    <w:rsid w:val="007D2DC4"/>
    <w:rsid w:val="00E21113"/>
    <w:rsid w:val="00EE48ED"/>
    <w:rsid w:val="014A1E14"/>
    <w:rsid w:val="0155715C"/>
    <w:rsid w:val="01C728D0"/>
    <w:rsid w:val="02254329"/>
    <w:rsid w:val="03356B49"/>
    <w:rsid w:val="046702C2"/>
    <w:rsid w:val="04814D9C"/>
    <w:rsid w:val="04C27B6C"/>
    <w:rsid w:val="04D76B7C"/>
    <w:rsid w:val="05601E08"/>
    <w:rsid w:val="060A30EE"/>
    <w:rsid w:val="076D6B78"/>
    <w:rsid w:val="079642AF"/>
    <w:rsid w:val="07A40D36"/>
    <w:rsid w:val="07C871BD"/>
    <w:rsid w:val="08F6786C"/>
    <w:rsid w:val="08FF4AC8"/>
    <w:rsid w:val="09C0276A"/>
    <w:rsid w:val="09C22DF1"/>
    <w:rsid w:val="0A034C37"/>
    <w:rsid w:val="0B3C2B55"/>
    <w:rsid w:val="0BA21DE8"/>
    <w:rsid w:val="0BC5664A"/>
    <w:rsid w:val="0BDA4A8E"/>
    <w:rsid w:val="0BF91E6C"/>
    <w:rsid w:val="0C373B85"/>
    <w:rsid w:val="0C5E2D60"/>
    <w:rsid w:val="0CAD59F1"/>
    <w:rsid w:val="0CB03358"/>
    <w:rsid w:val="0D226E45"/>
    <w:rsid w:val="0D872352"/>
    <w:rsid w:val="0D934A87"/>
    <w:rsid w:val="0F1B3E67"/>
    <w:rsid w:val="10662DEA"/>
    <w:rsid w:val="10AF64D1"/>
    <w:rsid w:val="11216B9A"/>
    <w:rsid w:val="11B25927"/>
    <w:rsid w:val="123D6A4D"/>
    <w:rsid w:val="1274634C"/>
    <w:rsid w:val="1397165D"/>
    <w:rsid w:val="14F77FDF"/>
    <w:rsid w:val="16413E71"/>
    <w:rsid w:val="16737FD7"/>
    <w:rsid w:val="16B31506"/>
    <w:rsid w:val="16BC0404"/>
    <w:rsid w:val="16F50701"/>
    <w:rsid w:val="172163E8"/>
    <w:rsid w:val="186D7D0F"/>
    <w:rsid w:val="19217460"/>
    <w:rsid w:val="192A23C6"/>
    <w:rsid w:val="19C1544E"/>
    <w:rsid w:val="19DA1D52"/>
    <w:rsid w:val="1AAA69E1"/>
    <w:rsid w:val="1B03180F"/>
    <w:rsid w:val="1B34727B"/>
    <w:rsid w:val="1BED1A6A"/>
    <w:rsid w:val="1BFA5FCE"/>
    <w:rsid w:val="1D393876"/>
    <w:rsid w:val="1E235C2D"/>
    <w:rsid w:val="1FF175C6"/>
    <w:rsid w:val="201E487F"/>
    <w:rsid w:val="20947A18"/>
    <w:rsid w:val="212E6F82"/>
    <w:rsid w:val="21941CBB"/>
    <w:rsid w:val="21A03B8D"/>
    <w:rsid w:val="21A3268F"/>
    <w:rsid w:val="21C36F1F"/>
    <w:rsid w:val="21F7526F"/>
    <w:rsid w:val="22B5176A"/>
    <w:rsid w:val="22CB2963"/>
    <w:rsid w:val="245A2BC3"/>
    <w:rsid w:val="245B39EA"/>
    <w:rsid w:val="24D43041"/>
    <w:rsid w:val="251C48A9"/>
    <w:rsid w:val="255C570C"/>
    <w:rsid w:val="25E67716"/>
    <w:rsid w:val="264F26CE"/>
    <w:rsid w:val="265E0F6A"/>
    <w:rsid w:val="28A27EE1"/>
    <w:rsid w:val="29421331"/>
    <w:rsid w:val="2A270A75"/>
    <w:rsid w:val="2AA661B2"/>
    <w:rsid w:val="2C627AC8"/>
    <w:rsid w:val="2D5007B8"/>
    <w:rsid w:val="2D7B5115"/>
    <w:rsid w:val="2DBC2E0A"/>
    <w:rsid w:val="2F062F75"/>
    <w:rsid w:val="2F2F0429"/>
    <w:rsid w:val="2FB478F7"/>
    <w:rsid w:val="2FC95D81"/>
    <w:rsid w:val="303B299D"/>
    <w:rsid w:val="31006CD9"/>
    <w:rsid w:val="31041AAE"/>
    <w:rsid w:val="310606C6"/>
    <w:rsid w:val="318656D8"/>
    <w:rsid w:val="31A41555"/>
    <w:rsid w:val="32A861CA"/>
    <w:rsid w:val="332D2CD8"/>
    <w:rsid w:val="33597986"/>
    <w:rsid w:val="34364FAB"/>
    <w:rsid w:val="37B54E1D"/>
    <w:rsid w:val="37B81BEC"/>
    <w:rsid w:val="38181871"/>
    <w:rsid w:val="38787AEA"/>
    <w:rsid w:val="38F92A66"/>
    <w:rsid w:val="3A8676EF"/>
    <w:rsid w:val="3B0E690B"/>
    <w:rsid w:val="3DC84A9A"/>
    <w:rsid w:val="3DFE6052"/>
    <w:rsid w:val="3E0407E2"/>
    <w:rsid w:val="3EF24ED3"/>
    <w:rsid w:val="3FB21705"/>
    <w:rsid w:val="3FE77A82"/>
    <w:rsid w:val="4017186C"/>
    <w:rsid w:val="40AA19D4"/>
    <w:rsid w:val="40E057D3"/>
    <w:rsid w:val="412B3BD0"/>
    <w:rsid w:val="41711287"/>
    <w:rsid w:val="435726A3"/>
    <w:rsid w:val="43E211E5"/>
    <w:rsid w:val="43F7549F"/>
    <w:rsid w:val="44074471"/>
    <w:rsid w:val="44990137"/>
    <w:rsid w:val="468E2CEF"/>
    <w:rsid w:val="46F05C0A"/>
    <w:rsid w:val="47007902"/>
    <w:rsid w:val="480B07CF"/>
    <w:rsid w:val="497E3370"/>
    <w:rsid w:val="4B1B2583"/>
    <w:rsid w:val="4C6E647A"/>
    <w:rsid w:val="4C7B4010"/>
    <w:rsid w:val="4CC911A2"/>
    <w:rsid w:val="4CCB0B65"/>
    <w:rsid w:val="4D4A51B9"/>
    <w:rsid w:val="4E306D68"/>
    <w:rsid w:val="4E8C7567"/>
    <w:rsid w:val="4E8E0A8C"/>
    <w:rsid w:val="4EB20057"/>
    <w:rsid w:val="4F3E14BF"/>
    <w:rsid w:val="4FB67A4E"/>
    <w:rsid w:val="50D85556"/>
    <w:rsid w:val="515E7A70"/>
    <w:rsid w:val="517B4F66"/>
    <w:rsid w:val="5209190E"/>
    <w:rsid w:val="524A6501"/>
    <w:rsid w:val="52517C78"/>
    <w:rsid w:val="52D22FD3"/>
    <w:rsid w:val="52FE6E08"/>
    <w:rsid w:val="53B264F4"/>
    <w:rsid w:val="54117BA3"/>
    <w:rsid w:val="54561298"/>
    <w:rsid w:val="54867189"/>
    <w:rsid w:val="54B57A63"/>
    <w:rsid w:val="556E4ACF"/>
    <w:rsid w:val="577B5528"/>
    <w:rsid w:val="57992D66"/>
    <w:rsid w:val="587B3035"/>
    <w:rsid w:val="59BB22D1"/>
    <w:rsid w:val="59DA2EC6"/>
    <w:rsid w:val="59F138CC"/>
    <w:rsid w:val="5ACF512A"/>
    <w:rsid w:val="5B4A21F6"/>
    <w:rsid w:val="5C3E7DAD"/>
    <w:rsid w:val="5C871D54"/>
    <w:rsid w:val="5CA85FC8"/>
    <w:rsid w:val="5D3C270C"/>
    <w:rsid w:val="5EB66D4F"/>
    <w:rsid w:val="5FAD1DF9"/>
    <w:rsid w:val="601F6302"/>
    <w:rsid w:val="602B1BBC"/>
    <w:rsid w:val="61536015"/>
    <w:rsid w:val="619F122B"/>
    <w:rsid w:val="63257394"/>
    <w:rsid w:val="63B9340E"/>
    <w:rsid w:val="63ED53B7"/>
    <w:rsid w:val="6404247B"/>
    <w:rsid w:val="6455458D"/>
    <w:rsid w:val="65330FEE"/>
    <w:rsid w:val="663E38C4"/>
    <w:rsid w:val="667B2FA0"/>
    <w:rsid w:val="6787443F"/>
    <w:rsid w:val="67A33E4D"/>
    <w:rsid w:val="68443BAF"/>
    <w:rsid w:val="692C1847"/>
    <w:rsid w:val="698F20E1"/>
    <w:rsid w:val="69AA012B"/>
    <w:rsid w:val="69CB1013"/>
    <w:rsid w:val="6AA8021D"/>
    <w:rsid w:val="6B237708"/>
    <w:rsid w:val="6BC46931"/>
    <w:rsid w:val="6D0D7448"/>
    <w:rsid w:val="6E05221F"/>
    <w:rsid w:val="6E3C39C3"/>
    <w:rsid w:val="6EBA35DA"/>
    <w:rsid w:val="6F6C6898"/>
    <w:rsid w:val="703334D2"/>
    <w:rsid w:val="70391CB1"/>
    <w:rsid w:val="70F41257"/>
    <w:rsid w:val="711158B3"/>
    <w:rsid w:val="71AD6345"/>
    <w:rsid w:val="71BF53D6"/>
    <w:rsid w:val="71ED654D"/>
    <w:rsid w:val="72040583"/>
    <w:rsid w:val="720C154E"/>
    <w:rsid w:val="72150491"/>
    <w:rsid w:val="721A1E72"/>
    <w:rsid w:val="721F7183"/>
    <w:rsid w:val="72B73D6C"/>
    <w:rsid w:val="72F025FA"/>
    <w:rsid w:val="73417041"/>
    <w:rsid w:val="7353136B"/>
    <w:rsid w:val="735340BF"/>
    <w:rsid w:val="73656151"/>
    <w:rsid w:val="745449E5"/>
    <w:rsid w:val="74747C07"/>
    <w:rsid w:val="74D21ED1"/>
    <w:rsid w:val="74FC0165"/>
    <w:rsid w:val="762A42EA"/>
    <w:rsid w:val="77192436"/>
    <w:rsid w:val="77350F71"/>
    <w:rsid w:val="7745190F"/>
    <w:rsid w:val="77904BBB"/>
    <w:rsid w:val="77FF0EFA"/>
    <w:rsid w:val="7AF95F25"/>
    <w:rsid w:val="7CCF650C"/>
    <w:rsid w:val="7D5C12AC"/>
    <w:rsid w:val="7EC040B2"/>
    <w:rsid w:val="7F312660"/>
    <w:rsid w:val="7F72221A"/>
    <w:rsid w:val="7FAD3488"/>
    <w:rsid w:val="7FC4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paragraph" w:styleId="5">
    <w:name w:val="heading 3"/>
    <w:basedOn w:val="1"/>
    <w:next w:val="1"/>
    <w:qFormat/>
    <w:uiPriority w:val="0"/>
    <w:pPr>
      <w:widowControl w:val="0"/>
      <w:spacing w:before="100" w:beforeAutospacing="1" w:after="100" w:afterAutospacing="1"/>
      <w:outlineLvl w:val="2"/>
    </w:pPr>
    <w:rPr>
      <w:rFonts w:hint="eastAsia" w:cs="Times New Roman"/>
      <w:b/>
      <w:sz w:val="27"/>
      <w:szCs w:val="27"/>
    </w:rPr>
  </w:style>
  <w:style w:type="character" w:default="1" w:styleId="1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Cs w:val="20"/>
    </w:rPr>
  </w:style>
  <w:style w:type="paragraph" w:styleId="6">
    <w:name w:val="Normal Indent"/>
    <w:basedOn w:val="1"/>
    <w:qFormat/>
    <w:uiPriority w:val="0"/>
    <w:pPr>
      <w:ind w:firstLine="420"/>
    </w:pPr>
    <w:rPr>
      <w:szCs w:val="20"/>
    </w:rPr>
  </w:style>
  <w:style w:type="paragraph" w:styleId="7">
    <w:name w:val="Body Text"/>
    <w:basedOn w:val="1"/>
    <w:qFormat/>
    <w:uiPriority w:val="0"/>
    <w:pPr>
      <w:tabs>
        <w:tab w:val="left" w:pos="562"/>
        <w:tab w:val="left" w:pos="3372"/>
        <w:tab w:val="left" w:pos="3653"/>
      </w:tabs>
    </w:pPr>
    <w:rPr>
      <w:sz w:val="24"/>
    </w:rPr>
  </w:style>
  <w:style w:type="paragraph" w:styleId="8">
    <w:name w:val="Body Text Indent"/>
    <w:basedOn w:val="1"/>
    <w:next w:val="9"/>
    <w:qFormat/>
    <w:uiPriority w:val="0"/>
    <w:pPr>
      <w:ind w:left="420"/>
    </w:pPr>
  </w:style>
  <w:style w:type="paragraph" w:styleId="9">
    <w:name w:val="envelope return"/>
    <w:basedOn w:val="1"/>
    <w:qFormat/>
    <w:uiPriority w:val="0"/>
    <w:pPr>
      <w:autoSpaceDE/>
      <w:autoSpaceDN/>
      <w:adjustRightInd/>
      <w:snapToGrid w:val="0"/>
      <w:jc w:val="both"/>
    </w:pPr>
    <w:rPr>
      <w:rFonts w:ascii="Arial" w:hAnsi="Arial" w:cs="Arial"/>
      <w:kern w:val="2"/>
      <w:sz w:val="21"/>
    </w:rPr>
  </w:style>
  <w:style w:type="paragraph" w:styleId="10">
    <w:name w:val="Plain Text"/>
    <w:basedOn w:val="1"/>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Body Text First Indent 2"/>
    <w:basedOn w:val="8"/>
    <w:qFormat/>
    <w:uiPriority w:val="0"/>
    <w:pPr>
      <w:widowControl/>
      <w:spacing w:after="120"/>
      <w:ind w:leftChars="200" w:firstLine="420" w:firstLineChars="200"/>
      <w:jc w:val="left"/>
    </w:pPr>
    <w:rPr>
      <w:rFonts w:ascii="Times New Roman" w:hAnsi="Times New Roman"/>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39"/>
    <w:pPr>
      <w:spacing w:before="120" w:after="120"/>
      <w:jc w:val="center"/>
    </w:pPr>
    <w:rPr>
      <w:b/>
      <w:bCs/>
      <w:caps/>
      <w:sz w:val="28"/>
      <w:szCs w:val="28"/>
    </w:rPr>
  </w:style>
  <w:style w:type="paragraph" w:styleId="15">
    <w:name w:val="Normal (Web)"/>
    <w:basedOn w:val="1"/>
    <w:qFormat/>
    <w:uiPriority w:val="0"/>
    <w:rPr>
      <w:sz w:val="24"/>
    </w:rPr>
  </w:style>
  <w:style w:type="character" w:styleId="17">
    <w:name w:val="Hyperlink"/>
    <w:qFormat/>
    <w:uiPriority w:val="99"/>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_Style 3"/>
    <w:basedOn w:val="1"/>
    <w:qFormat/>
    <w:uiPriority w:val="0"/>
    <w:pPr>
      <w:ind w:firstLine="420" w:firstLineChars="200"/>
    </w:pPr>
    <w:rPr>
      <w:sz w:val="20"/>
    </w:rPr>
  </w:style>
  <w:style w:type="paragraph" w:customStyle="1" w:styleId="21">
    <w:name w:val="List Paragraph"/>
    <w:basedOn w:val="1"/>
    <w:qFormat/>
    <w:uiPriority w:val="34"/>
    <w:pPr>
      <w:ind w:firstLine="420" w:firstLineChars="200"/>
    </w:pPr>
  </w:style>
  <w:style w:type="paragraph" w:customStyle="1" w:styleId="22">
    <w:name w:val="列出段落1"/>
    <w:basedOn w:val="1"/>
    <w:qFormat/>
    <w:uiPriority w:val="34"/>
    <w:pPr>
      <w:ind w:firstLine="420" w:firstLineChars="200"/>
    </w:pPr>
  </w:style>
  <w:style w:type="paragraph" w:customStyle="1" w:styleId="23">
    <w:name w:val="保留正文"/>
    <w:basedOn w:val="7"/>
    <w:qFormat/>
    <w:uiPriority w:val="0"/>
    <w:pPr>
      <w:keepNext/>
      <w:spacing w:after="160"/>
    </w:pPr>
    <w:rPr>
      <w:sz w:val="21"/>
    </w:rPr>
  </w:style>
  <w:style w:type="character" w:customStyle="1" w:styleId="24">
    <w:name w:val="NormalCharacter"/>
    <w:semiHidden/>
    <w:qFormat/>
    <w:uiPriority w:val="99"/>
  </w:style>
  <w:style w:type="paragraph" w:customStyle="1" w:styleId="25">
    <w:name w:val="正文正"/>
    <w:basedOn w:val="1"/>
    <w:qFormat/>
    <w:uiPriority w:val="0"/>
    <w:pPr>
      <w:spacing w:line="560" w:lineRule="exact"/>
      <w:ind w:firstLine="561"/>
    </w:pPr>
    <w:rPr>
      <w:rFonts w:eastAsia="仿宋_GB231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何坤锋</cp:lastModifiedBy>
  <cp:lastPrinted>2024-02-18T03:31:00Z</cp:lastPrinted>
  <dcterms:modified xsi:type="dcterms:W3CDTF">2024-02-19T00:58:00Z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