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2024041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cstheme="minorEastAsia"/>
          <w:sz w:val="32"/>
          <w:szCs w:val="32"/>
          <w:u w:val="single"/>
          <w:lang w:val="en-US" w:eastAsia="zh-CN"/>
        </w:rPr>
        <w:t>广东省河源监狱AB栋备勤房及综合楼安装净水器</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市场比价       </w:t>
      </w:r>
      <w:bookmarkStart w:id="1" w:name="_GoBack"/>
      <w:bookmarkEnd w:id="1"/>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7</w:t>
      </w:r>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default"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13</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w:t>
      </w:r>
      <w:r>
        <w:rPr>
          <w:rFonts w:hint="eastAsia"/>
          <w:lang w:eastAsia="zh-CN"/>
        </w:rPr>
        <w:t>采购人</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eastAsiaTheme="minorEastAsia" w:cstheme="minorEastAsia"/>
          <w:sz w:val="21"/>
          <w:szCs w:val="21"/>
          <w:lang w:eastAsia="zh-CN"/>
        </w:rPr>
        <w:t>比价</w:t>
      </w:r>
      <w:r>
        <w:rPr>
          <w:rFonts w:hint="eastAsia" w:asciiTheme="minorEastAsia" w:hAnsiTheme="minorEastAsia" w:eastAsiaTheme="minorEastAsia" w:cstheme="minorEastAsia"/>
          <w:sz w:val="21"/>
          <w:szCs w:val="21"/>
        </w:rPr>
        <w:t>文件资料承担责任。</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家，投标报价最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w:t>
      </w:r>
      <w:r>
        <w:rPr>
          <w:rFonts w:hint="eastAsia" w:asciiTheme="minorEastAsia" w:hAnsiTheme="minorEastAsia" w:cstheme="minorEastAsia"/>
          <w:sz w:val="21"/>
          <w:szCs w:val="21"/>
          <w:lang w:val="en-US" w:eastAsia="zh-CN"/>
        </w:rPr>
        <w:t>随机选取方式确定</w:t>
      </w:r>
      <w:r>
        <w:rPr>
          <w:rFonts w:hint="eastAsia" w:asciiTheme="minorEastAsia" w:hAnsiTheme="minorEastAsia" w:eastAsiaTheme="minorEastAsia" w:cstheme="minorEastAsia"/>
          <w:sz w:val="21"/>
          <w:szCs w:val="21"/>
        </w:rPr>
        <w:t>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比价文件中，如标有“★”的条款均为必须完全满足指标，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0"/>
        <w:pageBreakBefore w:val="0"/>
        <w:kinsoku/>
        <w:wordWrap/>
        <w:overflowPunct/>
        <w:topLinePunct w:val="0"/>
        <w:bidi w:val="0"/>
        <w:spacing w:line="340" w:lineRule="exact"/>
        <w:rPr>
          <w:rFonts w:hint="eastAsia"/>
          <w:lang w:eastAsia="zh-CN"/>
        </w:rPr>
      </w:pPr>
    </w:p>
    <w:p>
      <w:pPr>
        <w:pStyle w:val="20"/>
        <w:pageBreakBefore w:val="0"/>
        <w:kinsoku/>
        <w:wordWrap/>
        <w:overflowPunct/>
        <w:topLinePunct w:val="0"/>
        <w:bidi w:val="0"/>
        <w:spacing w:line="340" w:lineRule="exact"/>
        <w:rPr>
          <w:rFonts w:hint="eastAsia"/>
          <w:lang w:eastAsia="zh-CN"/>
        </w:rPr>
      </w:pPr>
    </w:p>
    <w:p>
      <w:pPr>
        <w:pStyle w:val="20"/>
        <w:pageBreakBefore w:val="0"/>
        <w:kinsoku/>
        <w:wordWrap/>
        <w:overflowPunct/>
        <w:topLinePunct w:val="0"/>
        <w:bidi w:val="0"/>
        <w:spacing w:line="340" w:lineRule="exact"/>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pStyle w:val="19"/>
        <w:widowControl w:val="0"/>
        <w:numPr>
          <w:ilvl w:val="0"/>
          <w:numId w:val="0"/>
        </w:numPr>
        <w:spacing w:before="25" w:after="25"/>
        <w:jc w:val="left"/>
        <w:rPr>
          <w:rFonts w:hint="eastAsia"/>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一、项目概况</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采购人根据工作需要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，拟采购安装400G商用反渗透净水设备4台</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100G家用反渗透净水设备1台。</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二、预算金额</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人民币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128118元。</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三、标的数量及技术规格</w:t>
      </w:r>
    </w:p>
    <w:p>
      <w:pPr>
        <w:pStyle w:val="2"/>
        <w:rPr>
          <w:rFonts w:hint="eastAsia"/>
          <w:lang w:val="en-US" w:eastAsia="zh-CN"/>
        </w:rPr>
      </w:pPr>
    </w:p>
    <w:tbl>
      <w:tblPr>
        <w:tblW w:w="9340" w:type="dxa"/>
        <w:tblInd w:w="0" w:type="dxa"/>
        <w:shd w:val="clear"/>
        <w:tblLayout w:type="fixed"/>
        <w:tblCellMar>
          <w:top w:w="0" w:type="dxa"/>
          <w:left w:w="0" w:type="dxa"/>
          <w:bottom w:w="0" w:type="dxa"/>
          <w:right w:w="0" w:type="dxa"/>
        </w:tblCellMar>
      </w:tblPr>
      <w:tblGrid>
        <w:gridCol w:w="558"/>
        <w:gridCol w:w="618"/>
        <w:gridCol w:w="774"/>
        <w:gridCol w:w="1958"/>
        <w:gridCol w:w="1336"/>
        <w:gridCol w:w="557"/>
        <w:gridCol w:w="563"/>
        <w:gridCol w:w="1037"/>
        <w:gridCol w:w="1038"/>
        <w:gridCol w:w="901"/>
      </w:tblGrid>
      <w:tr>
        <w:tblPrEx>
          <w:shd w:val="clear"/>
          <w:tblLayout w:type="fixed"/>
          <w:tblCellMar>
            <w:top w:w="0" w:type="dxa"/>
            <w:left w:w="0" w:type="dxa"/>
            <w:bottom w:w="0" w:type="dxa"/>
            <w:right w:w="0" w:type="dxa"/>
          </w:tblCellMar>
        </w:tblPrEx>
        <w:trPr>
          <w:trHeight w:val="637" w:hRule="atLeast"/>
        </w:trPr>
        <w:tc>
          <w:tcPr>
            <w:tcW w:w="558"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序号</w:t>
            </w:r>
          </w:p>
        </w:tc>
        <w:tc>
          <w:tcPr>
            <w:tcW w:w="618"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安装地点</w:t>
            </w:r>
          </w:p>
        </w:tc>
        <w:tc>
          <w:tcPr>
            <w:tcW w:w="774"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类别</w:t>
            </w:r>
          </w:p>
        </w:tc>
        <w:tc>
          <w:tcPr>
            <w:tcW w:w="1958"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产品名称</w:t>
            </w:r>
          </w:p>
        </w:tc>
        <w:tc>
          <w:tcPr>
            <w:tcW w:w="1336"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规格型号</w:t>
            </w:r>
          </w:p>
        </w:tc>
        <w:tc>
          <w:tcPr>
            <w:tcW w:w="557"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w:t>
            </w:r>
          </w:p>
        </w:tc>
        <w:tc>
          <w:tcPr>
            <w:tcW w:w="563"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数量</w:t>
            </w:r>
          </w:p>
        </w:tc>
        <w:tc>
          <w:tcPr>
            <w:tcW w:w="1037"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r>
              <w:rPr>
                <w:rFonts w:hint="eastAsia" w:ascii="宋体" w:hAnsi="宋体" w:eastAsia="宋体" w:cs="宋体"/>
                <w:b/>
                <w:i w:val="0"/>
                <w:color w:val="000000"/>
                <w:kern w:val="0"/>
                <w:sz w:val="20"/>
                <w:szCs w:val="20"/>
                <w:u w:val="none"/>
                <w:bdr w:val="none" w:color="auto" w:sz="0" w:space="0"/>
                <w:lang w:val="en-US" w:eastAsia="zh-CN" w:bidi="ar"/>
              </w:rPr>
              <w:t>单价最高</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限价（元）</w:t>
            </w:r>
          </w:p>
        </w:tc>
        <w:tc>
          <w:tcPr>
            <w:tcW w:w="1038"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r>
              <w:rPr>
                <w:rFonts w:hint="eastAsia" w:ascii="宋体" w:hAnsi="宋体" w:eastAsia="宋体" w:cs="宋体"/>
                <w:b/>
                <w:i w:val="0"/>
                <w:color w:val="000000"/>
                <w:kern w:val="0"/>
                <w:sz w:val="20"/>
                <w:szCs w:val="20"/>
                <w:u w:val="none"/>
                <w:bdr w:val="none" w:color="auto" w:sz="0" w:space="0"/>
                <w:lang w:val="en-US" w:eastAsia="zh-CN" w:bidi="ar"/>
              </w:rPr>
              <w:t>小计</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（元）</w:t>
            </w:r>
          </w:p>
        </w:tc>
        <w:tc>
          <w:tcPr>
            <w:tcW w:w="901"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32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618"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AB栋备勤房</w:t>
            </w:r>
          </w:p>
        </w:tc>
        <w:tc>
          <w:tcPr>
            <w:tcW w:w="774"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设备布电源</w:t>
            </w: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国标电缆线</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2.5平方</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1330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珠江</w:t>
            </w:r>
          </w:p>
        </w:tc>
      </w:tr>
      <w:tr>
        <w:tblPrEx>
          <w:shd w:val="clear"/>
          <w:tblLayout w:type="fixed"/>
          <w:tblCellMar>
            <w:top w:w="0" w:type="dxa"/>
            <w:left w:w="0" w:type="dxa"/>
            <w:bottom w:w="0" w:type="dxa"/>
            <w:right w:w="0" w:type="dxa"/>
          </w:tblCellMar>
        </w:tblPrEx>
        <w:trPr>
          <w:trHeight w:val="32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绝缘套管</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25mm</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bdr w:val="none" w:color="auto" w:sz="0" w:space="0"/>
                <w:lang w:val="en-US" w:eastAsia="zh-CN" w:bidi="ar"/>
              </w:rPr>
              <w:t>190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32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强电箱</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10位</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325</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漏电保护器</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220V32A</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475</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公牛</w:t>
            </w:r>
          </w:p>
        </w:tc>
      </w:tr>
      <w:tr>
        <w:tblPrEx>
          <w:tblLayout w:type="fixed"/>
          <w:tblCellMar>
            <w:top w:w="0" w:type="dxa"/>
            <w:left w:w="0" w:type="dxa"/>
            <w:bottom w:w="0" w:type="dxa"/>
            <w:right w:w="0" w:type="dxa"/>
          </w:tblCellMar>
        </w:tblPrEx>
        <w:trPr>
          <w:trHeight w:val="32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水钻穿墙孔</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50mm</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32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墙孔修复</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50mm</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设备布自来水</w:t>
            </w: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304不锈钢给水管</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1寸</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3750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自来水用</w:t>
            </w:r>
          </w:p>
        </w:tc>
      </w:tr>
      <w:tr>
        <w:tblPrEx>
          <w:shd w:val="clear"/>
          <w:tblLayout w:type="fixed"/>
          <w:tblCellMar>
            <w:top w:w="0" w:type="dxa"/>
            <w:left w:w="0" w:type="dxa"/>
            <w:bottom w:w="0" w:type="dxa"/>
            <w:right w:w="0" w:type="dxa"/>
          </w:tblCellMar>
        </w:tblPrEx>
        <w:trPr>
          <w:trHeight w:val="38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304不锈钢给水管</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4分</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自来水用</w:t>
            </w:r>
          </w:p>
        </w:tc>
      </w:tr>
      <w:tr>
        <w:tblPrEx>
          <w:shd w:val="clear"/>
          <w:tblLayout w:type="fixed"/>
          <w:tblCellMar>
            <w:top w:w="0" w:type="dxa"/>
            <w:left w:w="0" w:type="dxa"/>
            <w:bottom w:w="0" w:type="dxa"/>
            <w:right w:w="0" w:type="dxa"/>
          </w:tblCellMar>
        </w:tblPrEx>
        <w:trPr>
          <w:trHeight w:val="38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水钻穿墙孔</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50mm</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38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墙孔修复</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50mm</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各用水点布管</w:t>
            </w: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304不锈钢给水管</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4分</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326</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17930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直饮水用</w:t>
            </w:r>
          </w:p>
        </w:tc>
      </w:tr>
      <w:tr>
        <w:tblPrEx>
          <w:shd w:val="clear"/>
          <w:tblLayout w:type="fixed"/>
          <w:tblCellMar>
            <w:top w:w="0" w:type="dxa"/>
            <w:left w:w="0" w:type="dxa"/>
            <w:bottom w:w="0" w:type="dxa"/>
            <w:right w:w="0" w:type="dxa"/>
          </w:tblCellMar>
        </w:tblPrEx>
        <w:trPr>
          <w:trHeight w:val="38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水钻穿墙孔</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50mm</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tblLayout w:type="fixed"/>
          <w:tblCellMar>
            <w:top w:w="0" w:type="dxa"/>
            <w:left w:w="0" w:type="dxa"/>
            <w:bottom w:w="0" w:type="dxa"/>
            <w:right w:w="0" w:type="dxa"/>
          </w:tblCellMar>
        </w:tblPrEx>
        <w:trPr>
          <w:trHeight w:val="637"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用水点设备</w:t>
            </w: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2分SUS304不锈钢直饮龙头</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2分</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单龙头简易立式304不锈钢水盆</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600*600*800mm</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27000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8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restart"/>
            <w:tcBorders>
              <w:top w:val="single" w:color="000000" w:sz="8" w:space="0"/>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排水管</w:t>
            </w: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PVC水管</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4分</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8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single" w:color="000000" w:sz="8" w:space="0"/>
              <w:left w:val="nil"/>
              <w:bottom w:val="nil"/>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PVC弯头</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4分</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tblLayout w:type="fixed"/>
          <w:tblCellMar>
            <w:top w:w="0" w:type="dxa"/>
            <w:left w:w="0" w:type="dxa"/>
            <w:bottom w:w="0" w:type="dxa"/>
            <w:right w:w="0" w:type="dxa"/>
          </w:tblCellMar>
        </w:tblPrEx>
        <w:trPr>
          <w:trHeight w:val="981"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净水设备</w:t>
            </w: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商用反渗透过滤设备，内置20G（加仑）约75升储水罐</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400加仑</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品牌：碧丽</w:t>
            </w:r>
          </w:p>
        </w:tc>
      </w:tr>
      <w:tr>
        <w:tblPrEx>
          <w:shd w:val="clear"/>
          <w:tblLayout w:type="fixed"/>
          <w:tblCellMar>
            <w:top w:w="0" w:type="dxa"/>
            <w:left w:w="0" w:type="dxa"/>
            <w:bottom w:w="0" w:type="dxa"/>
            <w:right w:w="0" w:type="dxa"/>
          </w:tblCellMar>
        </w:tblPrEx>
        <w:trPr>
          <w:trHeight w:val="637"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压力桶食品级PP材质，≧20加仑（约75L)</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20G</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980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3920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品牌：碧丽</w:t>
            </w:r>
          </w:p>
        </w:tc>
      </w:tr>
      <w:tr>
        <w:tblPrEx>
          <w:tblLayout w:type="fixed"/>
          <w:tblCellMar>
            <w:top w:w="0" w:type="dxa"/>
            <w:left w:w="0" w:type="dxa"/>
            <w:bottom w:w="0" w:type="dxa"/>
            <w:right w:w="0" w:type="dxa"/>
          </w:tblCellMar>
        </w:tblPrEx>
        <w:trPr>
          <w:trHeight w:val="1154"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618"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综合楼一楼</w:t>
            </w:r>
          </w:p>
        </w:tc>
        <w:tc>
          <w:tcPr>
            <w:tcW w:w="774"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净水设备</w:t>
            </w: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家用反渗透过滤设备，自带食品级PP材质压力桶，≧3.2加仑（约12.11L)</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100加仑</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品牌：碧丽</w:t>
            </w:r>
          </w:p>
        </w:tc>
      </w:tr>
      <w:tr>
        <w:tblPrEx>
          <w:tblLayout w:type="fixed"/>
          <w:tblCellMar>
            <w:top w:w="0" w:type="dxa"/>
            <w:left w:w="0" w:type="dxa"/>
            <w:bottom w:w="0" w:type="dxa"/>
            <w:right w:w="0" w:type="dxa"/>
          </w:tblCellMar>
        </w:tblPrEx>
        <w:trPr>
          <w:trHeight w:val="1095"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配双龙头立式全包围304不锈钢水盆</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长1200mm*宽600mm*高800mm</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7"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2分SUS304不锈钢直饮龙头</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2分</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自来水4分龙头</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4分</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329"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电源布电</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2.5平方</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180</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珠江</w:t>
            </w:r>
          </w:p>
        </w:tc>
      </w:tr>
      <w:tr>
        <w:tblPrEx>
          <w:shd w:val="clear"/>
          <w:tblLayout w:type="fixed"/>
          <w:tblCellMar>
            <w:top w:w="0" w:type="dxa"/>
            <w:left w:w="0" w:type="dxa"/>
            <w:bottom w:w="0" w:type="dxa"/>
            <w:right w:w="0" w:type="dxa"/>
          </w:tblCellMar>
        </w:tblPrEx>
        <w:trPr>
          <w:trHeight w:val="587" w:hRule="atLeast"/>
        </w:trPr>
        <w:tc>
          <w:tcPr>
            <w:tcW w:w="558"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618"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插座</w:t>
            </w:r>
          </w:p>
        </w:tc>
        <w:tc>
          <w:tcPr>
            <w:tcW w:w="133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10A，2加3孔插座</w:t>
            </w:r>
          </w:p>
        </w:tc>
        <w:tc>
          <w:tcPr>
            <w:tcW w:w="55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56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公牛</w:t>
            </w:r>
          </w:p>
        </w:tc>
      </w:tr>
      <w:tr>
        <w:tblPrEx>
          <w:shd w:val="clear"/>
          <w:tblLayout w:type="fixed"/>
          <w:tblCellMar>
            <w:top w:w="0" w:type="dxa"/>
            <w:left w:w="0" w:type="dxa"/>
            <w:bottom w:w="0" w:type="dxa"/>
            <w:right w:w="0" w:type="dxa"/>
          </w:tblCellMar>
        </w:tblPrEx>
        <w:trPr>
          <w:trHeight w:val="383" w:hRule="atLeast"/>
        </w:trPr>
        <w:tc>
          <w:tcPr>
            <w:tcW w:w="6364" w:type="dxa"/>
            <w:gridSpan w:val="7"/>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合计（元）：</w:t>
            </w:r>
          </w:p>
        </w:tc>
        <w:tc>
          <w:tcPr>
            <w:tcW w:w="1037"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128118</w:t>
            </w:r>
          </w:p>
        </w:tc>
        <w:tc>
          <w:tcPr>
            <w:tcW w:w="901"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312" w:hRule="atLeast"/>
        </w:trPr>
        <w:tc>
          <w:tcPr>
            <w:tcW w:w="9340" w:type="dxa"/>
            <w:gridSpan w:val="10"/>
            <w:vMerge w:val="restar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以上报价含：运输、安装、配件、税等费用。</w:t>
            </w:r>
          </w:p>
        </w:tc>
      </w:tr>
      <w:tr>
        <w:tblPrEx>
          <w:tblLayout w:type="fixed"/>
          <w:tblCellMar>
            <w:top w:w="0" w:type="dxa"/>
            <w:left w:w="0" w:type="dxa"/>
            <w:bottom w:w="0" w:type="dxa"/>
            <w:right w:w="0" w:type="dxa"/>
          </w:tblCellMar>
        </w:tblPrEx>
        <w:trPr>
          <w:trHeight w:val="312" w:hRule="atLeast"/>
        </w:trPr>
        <w:tc>
          <w:tcPr>
            <w:tcW w:w="9340" w:type="dxa"/>
            <w:gridSpan w:val="10"/>
            <w:vMerge w:val="continue"/>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四、服务标准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（一）本项目所涉及的货物必须为合法制造商制造的全新产品，整体无污染，表面无划损，无任何缺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陷隐患，</w:t>
      </w:r>
      <w:r>
        <w:rPr>
          <w:rFonts w:hint="eastAsia" w:asciiTheme="minorEastAsia" w:hAnsiTheme="minorEastAsia" w:eastAsiaTheme="minorEastAsia" w:cstheme="minorEastAsia"/>
          <w:color w:val="000000" w:themeColor="text1"/>
          <w:sz w:val="21"/>
          <w:szCs w:val="21"/>
          <w14:textFill>
            <w14:solidFill>
              <w14:schemeClr w14:val="tx1"/>
            </w14:solidFill>
          </w14:textFill>
        </w:rPr>
        <w:t>必须符合国家有关部门的质量</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要求。</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cstheme="minorEastAsia"/>
          <w:color w:val="000000" w:themeColor="text1"/>
          <w:sz w:val="21"/>
          <w:szCs w:val="21"/>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须严格按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项目标的</w:t>
      </w:r>
      <w:r>
        <w:rPr>
          <w:rFonts w:hint="eastAsia" w:asciiTheme="minorEastAsia" w:hAnsiTheme="minorEastAsia" w:cstheme="minorEastAsia"/>
          <w:color w:val="000000" w:themeColor="text1"/>
          <w:sz w:val="21"/>
          <w:szCs w:val="21"/>
          <w:lang w:val="en-US" w:eastAsia="zh-CN"/>
          <w14:textFill>
            <w14:solidFill>
              <w14:schemeClr w14:val="tx1"/>
            </w14:solidFill>
          </w14:textFill>
        </w:rPr>
        <w:t>规格数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量及项目特征描述施工。</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w:t>
      </w:r>
      <w:r>
        <w:rPr>
          <w:rFonts w:hint="eastAsia" w:asciiTheme="minorEastAsia" w:hAnsiTheme="minorEastAsia" w:cstheme="minorEastAsia"/>
          <w:color w:val="000000" w:themeColor="text1"/>
          <w:sz w:val="21"/>
          <w:szCs w:val="21"/>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提供的货物</w:t>
      </w:r>
      <w:r>
        <w:rPr>
          <w:rFonts w:hint="eastAsia" w:asciiTheme="minorEastAsia" w:hAnsiTheme="minorEastAsia" w:eastAsiaTheme="minorEastAsia" w:cstheme="minorEastAsia"/>
          <w:color w:val="000000" w:themeColor="text1"/>
          <w:sz w:val="21"/>
          <w:szCs w:val="21"/>
          <w14:textFill>
            <w14:solidFill>
              <w14:schemeClr w14:val="tx1"/>
            </w14:solidFill>
          </w14:textFill>
        </w:rPr>
        <w:t>核心过滤工艺为反渗透过滤，不少于五级过滤工艺，即聚丙烯熔喷滤芯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颗粒活性炭滤芯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炭棒滤芯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反渗透膜滤芯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活性炭滤芯。产品须提供整机涉水卫生许可批件和检测报告。产品出水水质：须符合《生活饮用水水质处理器卫生安全与功能评价规范—反渗透处理装置》（2001）的要求。产品须提供水效标识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或水效报告，并达到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2级。</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五、工期</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合同签订之日起20个日历日。</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供应商资格条件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具有独立承担民事责任的在中华人民共和国境内注册的法人或其他组织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bookmarkStart w:id="0" w:name="_Hlk57820465"/>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bookmarkEnd w:id="0"/>
      <w:r>
        <w:rPr>
          <w:rFonts w:hint="eastAsia" w:asciiTheme="minorEastAsia" w:hAnsiTheme="minorEastAsia" w:eastAsiaTheme="minorEastAsia" w:cstheme="minorEastAsia"/>
          <w:color w:val="000000" w:themeColor="text1"/>
          <w:sz w:val="21"/>
          <w:szCs w:val="21"/>
          <w14:textFill>
            <w14:solidFill>
              <w14:schemeClr w14:val="tx1"/>
            </w14:solidFill>
          </w14:textFill>
        </w:rPr>
        <w:t>必须具有与履行本项目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所必需的设备和专业技术能力。</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七、款项支付</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项目验收合格后，采购方收到施工方开具的全额正式发票等资料审核完毕后，采购方在15日内向施工方支付项目款。</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八、质量保证</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项目质保期为验收合格之日起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1年</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施工方</w:t>
      </w:r>
      <w:r>
        <w:rPr>
          <w:rFonts w:hint="eastAsia" w:asciiTheme="minorEastAsia" w:hAnsiTheme="minorEastAsia" w:eastAsiaTheme="minorEastAsia" w:cstheme="minorEastAsia"/>
          <w:color w:val="000000" w:themeColor="text1"/>
          <w:sz w:val="21"/>
          <w:szCs w:val="21"/>
          <w14:textFill>
            <w14:solidFill>
              <w14:schemeClr w14:val="tx1"/>
            </w14:solidFill>
          </w14:textFill>
        </w:rPr>
        <w:t>应保证在质保期内向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采购方</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免费质量保证服务（含更换一次滤芯）</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九、验收标准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根据有关国家行业所列标准及规范、规定、</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核对采购文件、工程量清单、发票等材料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采购项目规格、工程量、质量等均符合要求。 </w:t>
      </w: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广东省河源监狱AB栋备勤房及</w:t>
      </w: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综合楼安装净水器项目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0"/>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一、报价声明函…………………………………………1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二、资格声明书…………………………………………2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b w:val="0"/>
          <w:bCs w:val="0"/>
          <w:color w:val="000000"/>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五、授权委托书（如需授权）…………………………5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6</w:t>
      </w:r>
    </w:p>
    <w:p>
      <w:pPr>
        <w:pStyle w:val="1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right="893"/>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w:t>
      </w:r>
      <w:r>
        <w:rPr>
          <w:rFonts w:hint="eastAsia" w:asciiTheme="minorEastAsia" w:hAnsiTheme="minorEastAsia" w:cstheme="minorEastAsia"/>
          <w:color w:val="000000" w:themeColor="text1"/>
          <w:sz w:val="21"/>
          <w:szCs w:val="21"/>
          <w:lang w:val="en-US" w:eastAsia="zh-CN"/>
          <w14:textFill>
            <w14:solidFill>
              <w14:schemeClr w14:val="tx1"/>
            </w14:solidFill>
          </w14:textFill>
        </w:rPr>
        <w:t>声明</w:t>
      </w:r>
      <w:r>
        <w:rPr>
          <w:rFonts w:hint="eastAsia" w:asciiTheme="minorEastAsia" w:hAnsiTheme="minorEastAsia" w:eastAsiaTheme="minorEastAsia" w:cstheme="minorEastAsia"/>
          <w:color w:val="000000" w:themeColor="text1"/>
          <w:sz w:val="21"/>
          <w:szCs w:val="21"/>
          <w14:textFill>
            <w14:solidFill>
              <w14:schemeClr w14:val="tx1"/>
            </w14:solidFill>
          </w14:textFill>
        </w:rPr>
        <w:t>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w:t>
      </w:r>
      <w:r>
        <w:rPr>
          <w:rFonts w:hint="eastAsia" w:asciiTheme="minorEastAsia" w:hAnsiTheme="minorEastAsia" w:cstheme="minorEastAsia"/>
          <w:b/>
          <w:color w:val="000000" w:themeColor="text1"/>
          <w:sz w:val="28"/>
          <w:szCs w:val="28"/>
          <w:lang w:val="en-US" w:eastAsia="zh-CN"/>
          <w14:textFill>
            <w14:solidFill>
              <w14:schemeClr w14:val="tx1"/>
            </w14:solidFill>
          </w14:textFill>
        </w:rPr>
        <w:t>声明</w:t>
      </w:r>
      <w:r>
        <w:rPr>
          <w:rFonts w:hint="eastAsia" w:asciiTheme="minorEastAsia" w:hAnsiTheme="minorEastAsia" w:eastAsiaTheme="minorEastAsia" w:cstheme="minorEastAsia"/>
          <w:b/>
          <w:color w:val="000000" w:themeColor="text1"/>
          <w:sz w:val="28"/>
          <w:szCs w:val="28"/>
          <w14:textFill>
            <w14:solidFill>
              <w14:schemeClr w14:val="tx1"/>
            </w14:solidFill>
          </w14:textFill>
        </w:rPr>
        <w:t>函</w:t>
      </w:r>
    </w:p>
    <w:p>
      <w:pPr>
        <w:pStyle w:val="23"/>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3"/>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6"/>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w:t>
      </w:r>
      <w:r>
        <w:rPr>
          <w:rFonts w:hint="eastAsia" w:asciiTheme="minorEastAsia" w:hAnsiTheme="minorEastAsia" w:cstheme="minorEastAsia"/>
          <w:color w:val="000000" w:themeColor="text1"/>
          <w:sz w:val="21"/>
          <w:szCs w:val="21"/>
          <w:lang w:val="en-US" w:eastAsia="zh-CN"/>
          <w14:textFill>
            <w14:solidFill>
              <w14:schemeClr w14:val="tx1"/>
            </w14:solidFill>
          </w14:textFill>
        </w:rPr>
        <w:t>声明</w:t>
      </w:r>
      <w:r>
        <w:rPr>
          <w:rFonts w:hint="eastAsia" w:asciiTheme="minorEastAsia" w:hAnsiTheme="minorEastAsia" w:eastAsiaTheme="minorEastAsia" w:cstheme="minorEastAsia"/>
          <w:color w:val="000000" w:themeColor="text1"/>
          <w:sz w:val="21"/>
          <w:szCs w:val="21"/>
          <w14:textFill>
            <w14:solidFill>
              <w14:schemeClr w14:val="tx1"/>
            </w14:solidFill>
          </w14:textFill>
        </w:rPr>
        <w:t>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广东省河源监狱AB栋备勤房及综合楼安装净水器项目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详细研究了文件的所有内容包括修正文（如有）和所有已提供的参考资料以及有关附件并完全明白，我方放弃在此方面提出含糊意见或误解的一切权力；我方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（1）本声明函必须提供且内容不得擅自删改，否则视为响应无效。</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（2）本声明函如有虚假或与事实不符的，作无效报价处理。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9"/>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sz w:val="21"/>
          <w:szCs w:val="21"/>
          <w:u w:val="single"/>
          <w:lang w:val="en-US" w:eastAsia="zh-CN"/>
        </w:rPr>
        <w:t>广东省河源监狱AB栋备勤房及综合楼安装净水器项目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比价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广东省河源监狱AB栋备勤房及综合楼安装净水器项目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napToGrid w:val="0"/>
        <w:spacing w:line="340" w:lineRule="exact"/>
        <w:ind w:left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lang w:eastAsia="zh-CN"/>
          <w14:textFill>
            <w14:solidFill>
              <w14:schemeClr w14:val="tx1"/>
            </w14:solidFill>
          </w14:textFill>
        </w:rPr>
        <w:t>（</w:t>
      </w:r>
      <w:r>
        <w:rPr>
          <w:rFonts w:hint="eastAsia" w:asciiTheme="minorEastAsia" w:hAnsiTheme="minorEastAsia" w:cstheme="minorEastAsia"/>
          <w:b/>
          <w:color w:val="000000" w:themeColor="text1"/>
          <w:sz w:val="28"/>
          <w:szCs w:val="28"/>
          <w:lang w:val="en-US" w:eastAsia="zh-CN"/>
          <w14:textFill>
            <w14:solidFill>
              <w14:schemeClr w14:val="tx1"/>
            </w14:solidFill>
          </w14:textFill>
        </w:rPr>
        <w:t>二</w:t>
      </w:r>
      <w:r>
        <w:rPr>
          <w:rFonts w:hint="eastAsia" w:asciiTheme="minorEastAsia" w:hAnsiTheme="minorEastAsia" w:cstheme="minorEastAsia"/>
          <w:b/>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8"/>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409"/>
        <w:gridCol w:w="353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993" w:type="dxa"/>
            <w:vAlign w:val="center"/>
          </w:tcPr>
          <w:p>
            <w:pPr>
              <w:pStyle w:val="9"/>
              <w:pageBreakBefore w:val="0"/>
              <w:kinsoku/>
              <w:wordWrap/>
              <w:overflowPunct/>
              <w:topLinePunct w:val="0"/>
              <w:bidi w:val="0"/>
              <w:spacing w:line="340" w:lineRule="exact"/>
              <w:jc w:val="center"/>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项目名称</w:t>
            </w:r>
          </w:p>
        </w:tc>
        <w:tc>
          <w:tcPr>
            <w:tcW w:w="1409" w:type="dxa"/>
            <w:vAlign w:val="center"/>
          </w:tcPr>
          <w:p>
            <w:pPr>
              <w:pStyle w:val="9"/>
              <w:pageBreakBefore w:val="0"/>
              <w:kinsoku/>
              <w:wordWrap/>
              <w:overflowPunct/>
              <w:topLinePunct w:val="0"/>
              <w:bidi w:val="0"/>
              <w:spacing w:line="340" w:lineRule="exact"/>
              <w:jc w:val="center"/>
              <w:rPr>
                <w:rFonts w:hint="default" w:ascii="宋体" w:hAnsi="宋体" w:eastAsiaTheme="minorEastAsia" w:cstheme="minorBidi"/>
                <w:b/>
                <w:bCs w:val="0"/>
                <w:color w:val="auto"/>
                <w:spacing w:val="4"/>
                <w:kern w:val="2"/>
                <w:sz w:val="21"/>
                <w:szCs w:val="21"/>
                <w:u w:val="none"/>
                <w:lang w:val="en-US" w:eastAsia="zh-CN" w:bidi="ar-SA"/>
              </w:rPr>
            </w:pPr>
            <w:r>
              <w:rPr>
                <w:rFonts w:hint="eastAsia" w:hAnsi="宋体" w:cstheme="minorBidi"/>
                <w:b/>
                <w:bCs w:val="0"/>
                <w:color w:val="auto"/>
                <w:spacing w:val="4"/>
                <w:kern w:val="2"/>
                <w:sz w:val="21"/>
                <w:szCs w:val="21"/>
                <w:u w:val="none"/>
                <w:lang w:val="en-US" w:eastAsia="zh-CN" w:bidi="ar-SA"/>
              </w:rPr>
              <w:t>数量</w:t>
            </w:r>
          </w:p>
        </w:tc>
        <w:tc>
          <w:tcPr>
            <w:tcW w:w="3531" w:type="dxa"/>
            <w:vAlign w:val="center"/>
          </w:tcPr>
          <w:p>
            <w:pPr>
              <w:pStyle w:val="9"/>
              <w:pageBreakBefore w:val="0"/>
              <w:kinsoku/>
              <w:wordWrap/>
              <w:overflowPunct/>
              <w:topLinePunct w:val="0"/>
              <w:bidi w:val="0"/>
              <w:spacing w:line="340" w:lineRule="exact"/>
              <w:jc w:val="center"/>
              <w:rPr>
                <w:rFonts w:hint="eastAsia" w:hAnsi="宋体" w:cstheme="minorBidi"/>
                <w:b/>
                <w:bCs w:val="0"/>
                <w:color w:val="auto"/>
                <w:spacing w:val="4"/>
                <w:kern w:val="2"/>
                <w:sz w:val="21"/>
                <w:szCs w:val="21"/>
                <w:u w:val="none"/>
                <w:lang w:val="en-US" w:eastAsia="zh-CN" w:bidi="ar-SA"/>
              </w:rPr>
            </w:pPr>
            <w:r>
              <w:rPr>
                <w:rFonts w:hint="eastAsia" w:hAnsi="宋体" w:cstheme="minorBidi"/>
                <w:b/>
                <w:bCs w:val="0"/>
                <w:color w:val="auto"/>
                <w:spacing w:val="4"/>
                <w:kern w:val="2"/>
                <w:sz w:val="21"/>
                <w:szCs w:val="21"/>
                <w:u w:val="none"/>
                <w:lang w:val="en-US" w:eastAsia="zh-CN" w:bidi="ar-SA"/>
              </w:rPr>
              <w:t>供应商单价</w:t>
            </w:r>
          </w:p>
          <w:p>
            <w:pPr>
              <w:pStyle w:val="9"/>
              <w:pageBreakBefore w:val="0"/>
              <w:kinsoku/>
              <w:wordWrap/>
              <w:overflowPunct/>
              <w:topLinePunct w:val="0"/>
              <w:bidi w:val="0"/>
              <w:spacing w:line="340" w:lineRule="exact"/>
              <w:jc w:val="center"/>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下浮率报价（%）</w:t>
            </w:r>
          </w:p>
        </w:tc>
        <w:tc>
          <w:tcPr>
            <w:tcW w:w="1327" w:type="dxa"/>
            <w:vAlign w:val="center"/>
          </w:tcPr>
          <w:p>
            <w:pPr>
              <w:pStyle w:val="9"/>
              <w:pageBreakBefore w:val="0"/>
              <w:kinsoku/>
              <w:wordWrap/>
              <w:overflowPunct/>
              <w:topLinePunct w:val="0"/>
              <w:bidi w:val="0"/>
              <w:spacing w:line="340" w:lineRule="exact"/>
              <w:jc w:val="center"/>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1993" w:type="dxa"/>
            <w:vAlign w:val="center"/>
          </w:tcPr>
          <w:p>
            <w:pPr>
              <w:pStyle w:val="9"/>
              <w:pageBreakBefore w:val="0"/>
              <w:kinsoku/>
              <w:wordWrap/>
              <w:overflowPunct/>
              <w:topLinePunct w:val="0"/>
              <w:bidi w:val="0"/>
              <w:spacing w:line="340" w:lineRule="exact"/>
              <w:jc w:val="both"/>
              <w:rPr>
                <w:rFonts w:hint="eastAsia" w:ascii="宋体" w:hAnsi="宋体" w:eastAsiaTheme="minorEastAsia" w:cstheme="minorBidi"/>
                <w:b w:val="0"/>
                <w:bCs/>
                <w:color w:val="auto"/>
                <w:spacing w:val="4"/>
                <w:kern w:val="2"/>
                <w:sz w:val="21"/>
                <w:szCs w:val="21"/>
                <w:u w:val="none"/>
                <w:lang w:val="en-US" w:eastAsia="zh-CN" w:bidi="ar-SA"/>
              </w:rPr>
            </w:pPr>
            <w:r>
              <w:rPr>
                <w:rFonts w:hint="eastAsia" w:asciiTheme="minorEastAsia" w:hAnsiTheme="minorEastAsia" w:cstheme="minorEastAsia"/>
                <w:sz w:val="21"/>
                <w:szCs w:val="21"/>
                <w:u w:val="none"/>
                <w:lang w:val="en-US" w:eastAsia="zh-CN"/>
              </w:rPr>
              <w:t>广东省河源监狱AB栋备勤房及综合楼一楼安装净水器项目</w:t>
            </w:r>
          </w:p>
        </w:tc>
        <w:tc>
          <w:tcPr>
            <w:tcW w:w="1409" w:type="dxa"/>
            <w:vAlign w:val="center"/>
          </w:tcPr>
          <w:p>
            <w:pPr>
              <w:pStyle w:val="9"/>
              <w:pageBreakBefore w:val="0"/>
              <w:kinsoku/>
              <w:wordWrap/>
              <w:overflowPunct/>
              <w:topLinePunct w:val="0"/>
              <w:bidi w:val="0"/>
              <w:spacing w:line="340" w:lineRule="exact"/>
              <w:jc w:val="center"/>
              <w:rPr>
                <w:rFonts w:hint="default" w:ascii="宋体" w:hAnsi="宋体" w:eastAsiaTheme="minorEastAsia" w:cstheme="minorBidi"/>
                <w:b w:val="0"/>
                <w:bCs/>
                <w:color w:val="auto"/>
                <w:spacing w:val="4"/>
                <w:kern w:val="2"/>
                <w:sz w:val="21"/>
                <w:szCs w:val="21"/>
                <w:u w:val="none"/>
                <w:lang w:val="en-US" w:eastAsia="zh-CN" w:bidi="ar-SA"/>
              </w:rPr>
            </w:pPr>
            <w:r>
              <w:rPr>
                <w:rFonts w:hint="eastAsia" w:hAnsi="宋体" w:cstheme="minorBidi"/>
                <w:b w:val="0"/>
                <w:bCs/>
                <w:color w:val="auto"/>
                <w:spacing w:val="4"/>
                <w:kern w:val="2"/>
                <w:sz w:val="21"/>
                <w:szCs w:val="21"/>
                <w:u w:val="none"/>
                <w:lang w:val="en-US" w:eastAsia="zh-CN" w:bidi="ar-SA"/>
              </w:rPr>
              <w:t>1批</w:t>
            </w:r>
          </w:p>
        </w:tc>
        <w:tc>
          <w:tcPr>
            <w:tcW w:w="3531" w:type="dxa"/>
            <w:vAlign w:val="center"/>
          </w:tcPr>
          <w:p>
            <w:pPr>
              <w:pStyle w:val="9"/>
              <w:pageBreakBefore w:val="0"/>
              <w:kinsoku/>
              <w:wordWrap/>
              <w:overflowPunct/>
              <w:topLinePunct w:val="0"/>
              <w:bidi w:val="0"/>
              <w:spacing w:line="340" w:lineRule="exact"/>
              <w:jc w:val="both"/>
              <w:rPr>
                <w:rFonts w:hint="default" w:hAnsi="宋体" w:cstheme="minorBidi"/>
                <w:b w:val="0"/>
                <w:bCs/>
                <w:color w:val="auto"/>
                <w:spacing w:val="4"/>
                <w:kern w:val="2"/>
                <w:sz w:val="21"/>
                <w:szCs w:val="21"/>
                <w:u w:val="none"/>
                <w:lang w:val="en-US" w:eastAsia="zh-CN" w:bidi="ar-SA"/>
              </w:rPr>
            </w:pPr>
            <w:r>
              <w:rPr>
                <w:rFonts w:hint="eastAsia" w:hAnsi="宋体" w:cstheme="minorBidi"/>
                <w:b w:val="0"/>
                <w:bCs/>
                <w:color w:val="auto"/>
                <w:spacing w:val="4"/>
                <w:kern w:val="2"/>
                <w:sz w:val="21"/>
                <w:szCs w:val="21"/>
                <w:u w:val="none"/>
                <w:lang w:val="en-US" w:eastAsia="zh-CN" w:bidi="ar-SA"/>
              </w:rPr>
              <w:t>小写：</w:t>
            </w:r>
            <w:r>
              <w:rPr>
                <w:rFonts w:hint="eastAsia" w:hAnsi="宋体" w:cstheme="minorBidi"/>
                <w:b w:val="0"/>
                <w:bCs/>
                <w:color w:val="auto"/>
                <w:spacing w:val="4"/>
                <w:kern w:val="2"/>
                <w:sz w:val="21"/>
                <w:szCs w:val="21"/>
                <w:u w:val="single"/>
                <w:lang w:val="en-US" w:eastAsia="zh-CN" w:bidi="ar-SA"/>
              </w:rPr>
              <w:t xml:space="preserve">        </w:t>
            </w:r>
            <w:r>
              <w:rPr>
                <w:rFonts w:hint="eastAsia" w:hAnsi="宋体" w:cstheme="minorBidi"/>
                <w:b w:val="0"/>
                <w:bCs/>
                <w:color w:val="auto"/>
                <w:spacing w:val="4"/>
                <w:kern w:val="2"/>
                <w:sz w:val="21"/>
                <w:szCs w:val="21"/>
                <w:u w:val="none"/>
                <w:lang w:val="en-US" w:eastAsia="zh-CN" w:bidi="ar-SA"/>
              </w:rPr>
              <w:t>%</w:t>
            </w:r>
          </w:p>
          <w:p>
            <w:pPr>
              <w:pStyle w:val="9"/>
              <w:pageBreakBefore w:val="0"/>
              <w:kinsoku/>
              <w:wordWrap/>
              <w:overflowPunct/>
              <w:topLinePunct w:val="0"/>
              <w:bidi w:val="0"/>
              <w:spacing w:line="340" w:lineRule="exact"/>
              <w:jc w:val="both"/>
              <w:rPr>
                <w:rFonts w:hint="eastAsia" w:hAnsi="宋体" w:cstheme="minorBidi"/>
                <w:b w:val="0"/>
                <w:bCs/>
                <w:color w:val="auto"/>
                <w:spacing w:val="4"/>
                <w:kern w:val="2"/>
                <w:sz w:val="21"/>
                <w:szCs w:val="21"/>
                <w:u w:val="none"/>
                <w:lang w:val="en-US" w:eastAsia="zh-CN" w:bidi="ar-SA"/>
              </w:rPr>
            </w:pPr>
          </w:p>
          <w:p>
            <w:pPr>
              <w:pStyle w:val="9"/>
              <w:pageBreakBefore w:val="0"/>
              <w:kinsoku/>
              <w:wordWrap/>
              <w:overflowPunct/>
              <w:topLinePunct w:val="0"/>
              <w:bidi w:val="0"/>
              <w:spacing w:line="340" w:lineRule="exact"/>
              <w:jc w:val="both"/>
              <w:rPr>
                <w:rFonts w:hint="default" w:hAnsi="宋体" w:cstheme="minorBidi"/>
                <w:b w:val="0"/>
                <w:bCs/>
                <w:color w:val="auto"/>
                <w:spacing w:val="4"/>
                <w:kern w:val="2"/>
                <w:sz w:val="21"/>
                <w:szCs w:val="21"/>
                <w:u w:val="single"/>
                <w:lang w:val="en-US" w:eastAsia="zh-CN" w:bidi="ar-SA"/>
              </w:rPr>
            </w:pPr>
            <w:r>
              <w:rPr>
                <w:rFonts w:hint="eastAsia" w:hAnsi="宋体" w:cstheme="minorBidi"/>
                <w:b w:val="0"/>
                <w:bCs/>
                <w:color w:val="auto"/>
                <w:spacing w:val="4"/>
                <w:kern w:val="2"/>
                <w:sz w:val="21"/>
                <w:szCs w:val="21"/>
                <w:u w:val="none"/>
                <w:lang w:val="en-US" w:eastAsia="zh-CN" w:bidi="ar-SA"/>
              </w:rPr>
              <w:t>大写：百分之</w:t>
            </w:r>
            <w:r>
              <w:rPr>
                <w:rFonts w:hint="eastAsia" w:hAnsi="宋体" w:cstheme="minorBidi"/>
                <w:b w:val="0"/>
                <w:bCs/>
                <w:color w:val="auto"/>
                <w:spacing w:val="4"/>
                <w:kern w:val="2"/>
                <w:sz w:val="21"/>
                <w:szCs w:val="21"/>
                <w:u w:val="single"/>
                <w:lang w:val="en-US" w:eastAsia="zh-CN" w:bidi="ar-SA"/>
              </w:rPr>
              <w:t xml:space="preserve">           </w:t>
            </w:r>
          </w:p>
          <w:p>
            <w:pPr>
              <w:pStyle w:val="9"/>
              <w:pageBreakBefore w:val="0"/>
              <w:kinsoku/>
              <w:wordWrap/>
              <w:overflowPunct/>
              <w:topLinePunct w:val="0"/>
              <w:bidi w:val="0"/>
              <w:spacing w:line="340" w:lineRule="exact"/>
              <w:jc w:val="center"/>
              <w:rPr>
                <w:rFonts w:hint="default" w:ascii="宋体" w:hAnsi="宋体" w:eastAsiaTheme="minorEastAsia" w:cstheme="minorBidi"/>
                <w:b w:val="0"/>
                <w:bCs/>
                <w:color w:val="auto"/>
                <w:spacing w:val="4"/>
                <w:kern w:val="2"/>
                <w:sz w:val="21"/>
                <w:szCs w:val="21"/>
                <w:u w:val="none"/>
                <w:lang w:val="en-US" w:eastAsia="zh-CN" w:bidi="ar-SA"/>
              </w:rPr>
            </w:pPr>
          </w:p>
        </w:tc>
        <w:tc>
          <w:tcPr>
            <w:tcW w:w="1327" w:type="dxa"/>
            <w:vAlign w:val="center"/>
          </w:tcPr>
          <w:p>
            <w:pPr>
              <w:pStyle w:val="9"/>
              <w:pageBreakBefore w:val="0"/>
              <w:kinsoku/>
              <w:wordWrap/>
              <w:overflowPunct/>
              <w:topLinePunct w:val="0"/>
              <w:bidi w:val="0"/>
              <w:spacing w:line="340" w:lineRule="exact"/>
              <w:jc w:val="both"/>
              <w:rPr>
                <w:rFonts w:hint="eastAsia" w:ascii="宋体" w:hAnsi="宋体" w:eastAsiaTheme="minorEastAsia" w:cstheme="minorBidi"/>
                <w:b w:val="0"/>
                <w:bCs/>
                <w:color w:val="auto"/>
                <w:spacing w:val="4"/>
                <w:kern w:val="2"/>
                <w:sz w:val="21"/>
                <w:szCs w:val="21"/>
                <w:u w:val="none"/>
                <w:lang w:val="en-US" w:eastAsia="zh-CN" w:bidi="ar-SA"/>
              </w:rPr>
            </w:pPr>
          </w:p>
        </w:tc>
      </w:tr>
    </w:tbl>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rPr>
          <w:rFonts w:ascii="宋体" w:hAnsi="宋体"/>
          <w:b w:val="0"/>
          <w:bCs/>
          <w:spacing w:val="4"/>
          <w:sz w:val="21"/>
          <w:szCs w:val="21"/>
        </w:rPr>
      </w:pPr>
      <w:r>
        <w:rPr>
          <w:rFonts w:hint="eastAsia" w:ascii="宋体" w:hAnsi="宋体"/>
          <w:b w:val="0"/>
          <w:bCs/>
          <w:spacing w:val="4"/>
          <w:sz w:val="21"/>
          <w:szCs w:val="21"/>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18" w:firstLineChars="192"/>
        <w:jc w:val="left"/>
        <w:textAlignment w:val="auto"/>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pStyle w:val="14"/>
        <w:numPr>
          <w:ilvl w:val="0"/>
          <w:numId w:val="0"/>
        </w:numPr>
        <w:shd w:val="clear" w:color="auto" w:fill="FFFFFF"/>
        <w:spacing w:before="0" w:beforeAutospacing="0" w:after="0" w:afterAutospacing="0" w:line="276" w:lineRule="auto"/>
        <w:ind w:left="0" w:leftChars="0" w:firstLine="420" w:firstLineChars="200"/>
        <w:rPr>
          <w:rFonts w:hint="eastAsia" w:ascii="宋体" w:hAnsi="宋体"/>
          <w:b w:val="0"/>
          <w:bCs/>
          <w:spacing w:val="4"/>
          <w:sz w:val="21"/>
          <w:szCs w:val="21"/>
          <w:u w:val="none"/>
          <w:lang w:val="en-US" w:eastAsia="zh-CN"/>
        </w:rPr>
      </w:pPr>
      <w:r>
        <w:rPr>
          <w:rFonts w:hint="eastAsia" w:asciiTheme="minorEastAsia" w:hAnsiTheme="minorEastAsia"/>
          <w:b w:val="0"/>
          <w:bCs/>
          <w:color w:val="auto"/>
          <w:sz w:val="21"/>
          <w:szCs w:val="21"/>
          <w:highlight w:val="none"/>
          <w:u w:val="none"/>
          <w:lang w:val="en-US" w:eastAsia="zh-CN"/>
        </w:rPr>
        <w:t>2.</w:t>
      </w:r>
      <w:r>
        <w:rPr>
          <w:rFonts w:hint="eastAsia" w:asciiTheme="minorEastAsia" w:hAnsiTheme="minorEastAsia" w:eastAsiaTheme="minorEastAsia"/>
          <w:b w:val="0"/>
          <w:bCs/>
          <w:color w:val="auto"/>
          <w:sz w:val="21"/>
          <w:szCs w:val="21"/>
          <w:u w:val="none"/>
        </w:rPr>
        <w:t>所有价格均系用人民币表示，单位为元，均</w:t>
      </w:r>
      <w:r>
        <w:rPr>
          <w:rFonts w:hint="eastAsia" w:ascii="宋体" w:hAnsi="宋体"/>
          <w:b w:val="0"/>
          <w:bCs/>
          <w:spacing w:val="4"/>
          <w:sz w:val="21"/>
          <w:szCs w:val="21"/>
          <w:u w:val="none"/>
        </w:rPr>
        <w:t>包含</w:t>
      </w:r>
      <w:r>
        <w:rPr>
          <w:rFonts w:hint="eastAsia" w:asciiTheme="minorEastAsia" w:hAnsiTheme="minorEastAsia" w:cstheme="minorEastAsia"/>
          <w:color w:val="000000" w:themeColor="text1"/>
          <w:sz w:val="21"/>
          <w:szCs w:val="21"/>
          <w:lang w:val="en-US" w:eastAsia="zh-CN"/>
          <w14:textFill>
            <w14:solidFill>
              <w14:schemeClr w14:val="tx1"/>
            </w14:solidFill>
          </w14:textFill>
        </w:rPr>
        <w:t>货物、运输</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安全</w:t>
      </w:r>
      <w:r>
        <w:rPr>
          <w:rFonts w:hint="eastAsia" w:ascii="宋体" w:hAnsi="宋体"/>
          <w:b w:val="0"/>
          <w:bCs/>
          <w:spacing w:val="4"/>
          <w:sz w:val="21"/>
          <w:szCs w:val="21"/>
          <w:u w:val="none"/>
          <w:lang w:val="en-US" w:eastAsia="zh-CN"/>
        </w:rPr>
        <w:t>、装卸、税费等一切费用；</w:t>
      </w:r>
    </w:p>
    <w:p>
      <w:pPr>
        <w:widowControl/>
        <w:numPr>
          <w:ilvl w:val="0"/>
          <w:numId w:val="0"/>
        </w:numPr>
        <w:shd w:val="clear" w:color="auto" w:fill="FFFFFF"/>
        <w:spacing w:line="276" w:lineRule="auto"/>
        <w:ind w:left="0" w:leftChars="0" w:firstLine="420" w:firstLineChars="200"/>
        <w:jc w:val="left"/>
        <w:rPr>
          <w:rFonts w:ascii="宋体" w:hAnsi="宋体"/>
          <w:b w:val="0"/>
          <w:bCs/>
          <w:color w:val="auto"/>
          <w:u w:val="none"/>
        </w:rPr>
      </w:pPr>
      <w:r>
        <w:rPr>
          <w:rFonts w:hint="eastAsia" w:ascii="宋体" w:hAnsi="宋体"/>
          <w:b w:val="0"/>
          <w:bCs/>
          <w:color w:val="auto"/>
          <w:u w:val="none"/>
          <w:lang w:val="en-US" w:eastAsia="zh-CN"/>
        </w:rPr>
        <w:t>3.</w:t>
      </w:r>
      <w:r>
        <w:rPr>
          <w:rFonts w:ascii="宋体" w:hAnsi="宋体"/>
          <w:b w:val="0"/>
          <w:bCs/>
          <w:color w:val="auto"/>
          <w:u w:val="none"/>
        </w:rPr>
        <w:t>下浮率报价</w:t>
      </w:r>
      <w:r>
        <w:rPr>
          <w:rFonts w:hint="eastAsia" w:ascii="宋体" w:hAnsi="宋体"/>
          <w:b w:val="0"/>
          <w:bCs/>
          <w:color w:val="auto"/>
          <w:u w:val="none"/>
          <w:lang w:val="en-US" w:eastAsia="zh-CN"/>
        </w:rPr>
        <w:t>不得</w:t>
      </w:r>
      <w:r>
        <w:rPr>
          <w:rFonts w:ascii="宋体" w:hAnsi="宋体"/>
          <w:b w:val="0"/>
          <w:bCs/>
          <w:color w:val="auto"/>
          <w:u w:val="none"/>
        </w:rPr>
        <w:t>大于或等于</w:t>
      </w:r>
      <w:r>
        <w:rPr>
          <w:rFonts w:hint="eastAsia" w:ascii="宋体" w:hAnsi="宋体"/>
          <w:b w:val="0"/>
          <w:bCs/>
          <w:color w:val="auto"/>
          <w:u w:val="none"/>
        </w:rPr>
        <w:t>100</w:t>
      </w:r>
      <w:r>
        <w:rPr>
          <w:rFonts w:ascii="宋体" w:hAnsi="宋体"/>
          <w:b w:val="0"/>
          <w:bCs/>
          <w:color w:val="auto"/>
          <w:u w:val="none"/>
        </w:rPr>
        <w:t>%，也</w:t>
      </w:r>
      <w:r>
        <w:rPr>
          <w:rFonts w:hint="eastAsia" w:ascii="宋体" w:hAnsi="宋体"/>
          <w:b w:val="0"/>
          <w:bCs/>
          <w:color w:val="auto"/>
          <w:u w:val="none"/>
          <w:lang w:val="en-US" w:eastAsia="zh-CN"/>
        </w:rPr>
        <w:t>不得</w:t>
      </w:r>
      <w:r>
        <w:rPr>
          <w:rFonts w:ascii="宋体" w:hAnsi="宋体"/>
          <w:b w:val="0"/>
          <w:bCs/>
          <w:color w:val="auto"/>
          <w:u w:val="none"/>
        </w:rPr>
        <w:t>为负数，且是固定唯一值的，否则为无效报价</w:t>
      </w:r>
      <w:r>
        <w:rPr>
          <w:rFonts w:hint="eastAsia" w:ascii="宋体" w:hAnsi="宋体"/>
          <w:b w:val="0"/>
          <w:bCs/>
          <w:color w:val="auto"/>
          <w:u w:val="none"/>
        </w:rPr>
        <w:t>；下浮率</w:t>
      </w:r>
      <w:r>
        <w:rPr>
          <w:rFonts w:hint="eastAsia" w:ascii="宋体" w:hAnsi="宋体"/>
          <w:b w:val="0"/>
          <w:bCs/>
          <w:color w:val="auto"/>
          <w:u w:val="none"/>
          <w:lang w:val="en-US" w:eastAsia="zh-CN"/>
        </w:rPr>
        <w:t>最</w:t>
      </w:r>
      <w:r>
        <w:rPr>
          <w:rFonts w:hint="eastAsia" w:ascii="宋体" w:hAnsi="宋体"/>
          <w:b w:val="0"/>
          <w:bCs/>
          <w:color w:val="auto"/>
          <w:u w:val="none"/>
        </w:rPr>
        <w:t>高的为成交供应商。供应商所报下浮率为成交下浮率，即：</w:t>
      </w:r>
      <w:r>
        <w:rPr>
          <w:rFonts w:hint="eastAsia" w:ascii="宋体" w:hAnsi="宋体"/>
          <w:b/>
          <w:bCs w:val="0"/>
          <w:color w:val="auto"/>
          <w:u w:val="single"/>
          <w:lang w:val="en-US" w:eastAsia="zh-CN"/>
        </w:rPr>
        <w:t>货物成交</w:t>
      </w:r>
      <w:r>
        <w:rPr>
          <w:rFonts w:hint="eastAsia" w:ascii="宋体" w:hAnsi="宋体"/>
          <w:b/>
          <w:bCs w:val="0"/>
          <w:color w:val="auto"/>
          <w:u w:val="single"/>
        </w:rPr>
        <w:t>单价</w:t>
      </w:r>
      <w:r>
        <w:rPr>
          <w:rFonts w:hint="eastAsia" w:ascii="宋体" w:hAnsi="宋体"/>
          <w:b/>
          <w:bCs w:val="0"/>
          <w:color w:val="auto"/>
          <w:u w:val="single"/>
          <w:lang w:val="en-US" w:eastAsia="zh-CN"/>
        </w:rPr>
        <w:t>=</w:t>
      </w:r>
      <w:r>
        <w:rPr>
          <w:rFonts w:hint="eastAsia" w:ascii="宋体" w:hAnsi="宋体"/>
          <w:b/>
          <w:bCs w:val="0"/>
          <w:color w:val="auto"/>
          <w:u w:val="single"/>
        </w:rPr>
        <w:t>最高</w:t>
      </w:r>
      <w:r>
        <w:rPr>
          <w:rFonts w:ascii="宋体" w:hAnsi="宋体"/>
          <w:b/>
          <w:bCs w:val="0"/>
          <w:color w:val="auto"/>
          <w:u w:val="single"/>
        </w:rPr>
        <w:t>单价限价*</w:t>
      </w:r>
      <w:r>
        <w:rPr>
          <w:rFonts w:hint="eastAsia" w:ascii="宋体" w:hAnsi="宋体"/>
          <w:b/>
          <w:bCs w:val="0"/>
          <w:color w:val="auto"/>
          <w:u w:val="single"/>
        </w:rPr>
        <w:t>（1</w:t>
      </w:r>
      <w:r>
        <w:rPr>
          <w:rFonts w:hint="eastAsia" w:ascii="宋体" w:hAnsi="宋体"/>
          <w:b/>
          <w:bCs w:val="0"/>
          <w:color w:val="auto"/>
          <w:u w:val="single"/>
          <w:lang w:val="en-US" w:eastAsia="zh-CN"/>
        </w:rPr>
        <w:t>-</w:t>
      </w:r>
      <w:r>
        <w:rPr>
          <w:rFonts w:ascii="宋体" w:hAnsi="宋体"/>
          <w:b/>
          <w:bCs w:val="0"/>
          <w:color w:val="auto"/>
          <w:u w:val="single"/>
        </w:rPr>
        <w:t>下浮率</w:t>
      </w:r>
      <w:r>
        <w:rPr>
          <w:rFonts w:hint="eastAsia" w:ascii="宋体" w:hAnsi="宋体"/>
          <w:b/>
          <w:bCs w:val="0"/>
          <w:color w:val="auto"/>
          <w:u w:val="single"/>
        </w:rPr>
        <w:t>）</w:t>
      </w:r>
      <w:r>
        <w:rPr>
          <w:rFonts w:hint="eastAsia" w:ascii="宋体" w:hAnsi="宋体"/>
          <w:b/>
          <w:bCs w:val="0"/>
          <w:color w:val="auto"/>
          <w:u w:val="none"/>
          <w:lang w:val="en-US" w:eastAsia="zh-CN"/>
        </w:rPr>
        <w:t>，</w:t>
      </w:r>
      <w:r>
        <w:rPr>
          <w:rFonts w:hint="eastAsia" w:asciiTheme="minorEastAsia" w:hAnsiTheme="minorEastAsia" w:eastAsiaTheme="minorEastAsia"/>
          <w:b/>
          <w:bCs w:val="0"/>
          <w:color w:val="auto"/>
          <w:sz w:val="21"/>
          <w:szCs w:val="21"/>
          <w:highlight w:val="none"/>
          <w:u w:val="none"/>
        </w:rPr>
        <w:t>下浮后单价保留</w:t>
      </w:r>
      <w:r>
        <w:rPr>
          <w:rFonts w:hint="eastAsia" w:asciiTheme="minorEastAsia" w:hAnsiTheme="minorEastAsia"/>
          <w:b/>
          <w:bCs w:val="0"/>
          <w:color w:val="auto"/>
          <w:sz w:val="21"/>
          <w:szCs w:val="21"/>
          <w:highlight w:val="none"/>
          <w:u w:val="none"/>
          <w:lang w:val="en-US" w:eastAsia="zh-CN"/>
        </w:rPr>
        <w:t>两</w:t>
      </w:r>
      <w:r>
        <w:rPr>
          <w:rFonts w:hint="eastAsia" w:asciiTheme="minorEastAsia" w:hAnsiTheme="minorEastAsia" w:eastAsiaTheme="minorEastAsia"/>
          <w:b/>
          <w:bCs w:val="0"/>
          <w:color w:val="auto"/>
          <w:sz w:val="21"/>
          <w:szCs w:val="21"/>
          <w:highlight w:val="none"/>
          <w:u w:val="none"/>
        </w:rPr>
        <w:t>位小数点（四舍五入）；</w:t>
      </w:r>
      <w:r>
        <w:rPr>
          <w:rFonts w:ascii="宋体" w:hAnsi="宋体"/>
          <w:b w:val="0"/>
          <w:bCs/>
          <w:color w:val="auto"/>
          <w:u w:val="none"/>
        </w:rPr>
        <w:t>在本项目履行期间，该下浮率不作另行调整；</w:t>
      </w:r>
    </w:p>
    <w:p>
      <w:pPr>
        <w:pStyle w:val="14"/>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cstheme="minorEastAsia"/>
          <w:b w:val="0"/>
          <w:bCs/>
          <w:color w:val="auto"/>
          <w:sz w:val="21"/>
          <w:szCs w:val="21"/>
          <w:u w:val="none"/>
          <w:lang w:val="en-US" w:eastAsia="zh-CN"/>
        </w:rPr>
        <w:t>4</w:t>
      </w:r>
      <w:r>
        <w:rPr>
          <w:rFonts w:hint="eastAsia" w:asciiTheme="minorEastAsia" w:hAnsiTheme="minorEastAsia" w:eastAsiaTheme="minorEastAsia" w:cstheme="minorEastAsia"/>
          <w:b w:val="0"/>
          <w:bCs/>
          <w:color w:val="auto"/>
          <w:sz w:val="21"/>
          <w:szCs w:val="21"/>
          <w:u w:val="none"/>
          <w:lang w:val="en-US" w:eastAsia="zh-CN"/>
        </w:rPr>
        <w:t>.</w:t>
      </w:r>
      <w:r>
        <w:rPr>
          <w:rFonts w:hint="eastAsia" w:asciiTheme="minorEastAsia" w:hAnsiTheme="minorEastAsia" w:eastAsiaTheme="minorEastAsia" w:cstheme="minorEastAsia"/>
          <w:b/>
          <w:bCs w:val="0"/>
          <w:color w:val="auto"/>
          <w:sz w:val="21"/>
          <w:szCs w:val="21"/>
        </w:rPr>
        <w:t>本项目不接受有选择性的报价，只允许报一个下浮率，所报的下浮率适用</w:t>
      </w:r>
      <w:r>
        <w:rPr>
          <w:rFonts w:hint="eastAsia" w:asciiTheme="minorEastAsia" w:hAnsiTheme="minorEastAsia" w:cstheme="minorEastAsia"/>
          <w:b/>
          <w:bCs w:val="0"/>
          <w:color w:val="auto"/>
          <w:sz w:val="21"/>
          <w:szCs w:val="21"/>
          <w:lang w:val="en-US" w:eastAsia="zh-CN"/>
        </w:rPr>
        <w:t>采购清单</w:t>
      </w:r>
      <w:r>
        <w:rPr>
          <w:rFonts w:hint="eastAsia" w:asciiTheme="minorEastAsia" w:hAnsiTheme="minorEastAsia" w:eastAsiaTheme="minorEastAsia" w:cstheme="minorEastAsia"/>
          <w:b/>
          <w:bCs w:val="0"/>
          <w:color w:val="auto"/>
          <w:sz w:val="21"/>
          <w:szCs w:val="21"/>
        </w:rPr>
        <w:t>所有</w:t>
      </w:r>
      <w:r>
        <w:rPr>
          <w:rFonts w:hint="eastAsia" w:asciiTheme="minorEastAsia" w:hAnsiTheme="minorEastAsia" w:cstheme="minorEastAsia"/>
          <w:b/>
          <w:bCs w:val="0"/>
          <w:color w:val="auto"/>
          <w:sz w:val="21"/>
          <w:szCs w:val="21"/>
          <w:lang w:val="en-US" w:eastAsia="zh-CN"/>
        </w:rPr>
        <w:t>货物</w:t>
      </w:r>
      <w:r>
        <w:rPr>
          <w:rFonts w:hint="eastAsia" w:asciiTheme="minorEastAsia" w:hAnsiTheme="minorEastAsia" w:eastAsiaTheme="minorEastAsia" w:cstheme="minorEastAsia"/>
          <w:b/>
          <w:bCs w:val="0"/>
          <w:color w:val="auto"/>
          <w:sz w:val="21"/>
          <w:szCs w:val="21"/>
          <w:lang w:eastAsia="zh-CN"/>
        </w:rPr>
        <w:t>。</w:t>
      </w:r>
    </w:p>
    <w:p>
      <w:pPr>
        <w:pStyle w:val="14"/>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20"/>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Lines="50" w:line="320" w:lineRule="atLeast"/>
        <w:ind w:left="0" w:leftChars="0" w:firstLine="617" w:firstLineChars="192"/>
        <w:textAlignment w:val="auto"/>
        <w:rPr>
          <w:rFonts w:hint="default" w:asciiTheme="minorEastAsia" w:hAnsiTheme="minorEastAsia" w:cstheme="minorEastAsia"/>
          <w:b/>
          <w:color w:val="000000" w:themeColor="text1"/>
          <w:sz w:val="32"/>
          <w:szCs w:val="32"/>
          <w:lang w:val="en-US" w:eastAsia="zh-CN"/>
          <w14:textFill>
            <w14:solidFill>
              <w14:schemeClr w14:val="tx1"/>
            </w14:solidFill>
          </w14:textFill>
        </w:rPr>
      </w:pPr>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6460"/>
    <w:multiLevelType w:val="singleLevel"/>
    <w:tmpl w:val="1133646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3A28"/>
    <w:rsid w:val="007A3658"/>
    <w:rsid w:val="007D2DC4"/>
    <w:rsid w:val="00E21113"/>
    <w:rsid w:val="00EE48ED"/>
    <w:rsid w:val="013371BD"/>
    <w:rsid w:val="014A1E14"/>
    <w:rsid w:val="0155715C"/>
    <w:rsid w:val="01C728D0"/>
    <w:rsid w:val="02254329"/>
    <w:rsid w:val="03356B49"/>
    <w:rsid w:val="03925B9C"/>
    <w:rsid w:val="03DF6FE7"/>
    <w:rsid w:val="046702C2"/>
    <w:rsid w:val="04814D9C"/>
    <w:rsid w:val="04C27B6C"/>
    <w:rsid w:val="04D76B7C"/>
    <w:rsid w:val="05601E08"/>
    <w:rsid w:val="05C75D98"/>
    <w:rsid w:val="060A30EE"/>
    <w:rsid w:val="079642AF"/>
    <w:rsid w:val="07A40D36"/>
    <w:rsid w:val="07C871BD"/>
    <w:rsid w:val="08120E31"/>
    <w:rsid w:val="08856E77"/>
    <w:rsid w:val="088D52D7"/>
    <w:rsid w:val="08F6786C"/>
    <w:rsid w:val="08FF4AC8"/>
    <w:rsid w:val="09C0276A"/>
    <w:rsid w:val="09C22DF1"/>
    <w:rsid w:val="0A034C37"/>
    <w:rsid w:val="0B3C2B55"/>
    <w:rsid w:val="0BA21DE8"/>
    <w:rsid w:val="0BC5664A"/>
    <w:rsid w:val="0BD22DD2"/>
    <w:rsid w:val="0BDA4A8E"/>
    <w:rsid w:val="0BF91E6C"/>
    <w:rsid w:val="0C0B5C4D"/>
    <w:rsid w:val="0C373B85"/>
    <w:rsid w:val="0C5E2D60"/>
    <w:rsid w:val="0CAD59F1"/>
    <w:rsid w:val="0CBA4151"/>
    <w:rsid w:val="0D226E45"/>
    <w:rsid w:val="0D3655C8"/>
    <w:rsid w:val="0D934A87"/>
    <w:rsid w:val="0F1B3E67"/>
    <w:rsid w:val="10662DEA"/>
    <w:rsid w:val="107D1052"/>
    <w:rsid w:val="11216B9A"/>
    <w:rsid w:val="119A1213"/>
    <w:rsid w:val="11B25927"/>
    <w:rsid w:val="123D6A4D"/>
    <w:rsid w:val="1274634C"/>
    <w:rsid w:val="1397165D"/>
    <w:rsid w:val="14F77FDF"/>
    <w:rsid w:val="1625334E"/>
    <w:rsid w:val="16413E71"/>
    <w:rsid w:val="16737FD7"/>
    <w:rsid w:val="16AF4471"/>
    <w:rsid w:val="16B31506"/>
    <w:rsid w:val="16BC0404"/>
    <w:rsid w:val="16F50701"/>
    <w:rsid w:val="171F51BA"/>
    <w:rsid w:val="172163E8"/>
    <w:rsid w:val="186D7D0F"/>
    <w:rsid w:val="19217460"/>
    <w:rsid w:val="192A23C6"/>
    <w:rsid w:val="19C1544E"/>
    <w:rsid w:val="19DA1D52"/>
    <w:rsid w:val="1AAA69E1"/>
    <w:rsid w:val="1B03180F"/>
    <w:rsid w:val="1B34727B"/>
    <w:rsid w:val="1BED1A6A"/>
    <w:rsid w:val="1BFA5FCE"/>
    <w:rsid w:val="1D393876"/>
    <w:rsid w:val="1D8724FC"/>
    <w:rsid w:val="1E235C2D"/>
    <w:rsid w:val="1FF175C6"/>
    <w:rsid w:val="201E487F"/>
    <w:rsid w:val="20947A18"/>
    <w:rsid w:val="212E6F82"/>
    <w:rsid w:val="21941CBB"/>
    <w:rsid w:val="21A03B8D"/>
    <w:rsid w:val="21A3268F"/>
    <w:rsid w:val="21C36F1F"/>
    <w:rsid w:val="21F7526F"/>
    <w:rsid w:val="22134706"/>
    <w:rsid w:val="228E56B4"/>
    <w:rsid w:val="22CB2963"/>
    <w:rsid w:val="244E256B"/>
    <w:rsid w:val="245A2BC3"/>
    <w:rsid w:val="245B39EA"/>
    <w:rsid w:val="24D43041"/>
    <w:rsid w:val="251C48A9"/>
    <w:rsid w:val="255C570C"/>
    <w:rsid w:val="25E67716"/>
    <w:rsid w:val="264F26CE"/>
    <w:rsid w:val="265E0F6A"/>
    <w:rsid w:val="274C0F24"/>
    <w:rsid w:val="27503EC1"/>
    <w:rsid w:val="27EC4A8A"/>
    <w:rsid w:val="28A27EE1"/>
    <w:rsid w:val="29421331"/>
    <w:rsid w:val="294D0709"/>
    <w:rsid w:val="2A270A75"/>
    <w:rsid w:val="2AA661B2"/>
    <w:rsid w:val="2AFD54DC"/>
    <w:rsid w:val="2C627AC8"/>
    <w:rsid w:val="2D5007B8"/>
    <w:rsid w:val="2D7B5115"/>
    <w:rsid w:val="2DBC2E0A"/>
    <w:rsid w:val="2F062F75"/>
    <w:rsid w:val="2F2F0429"/>
    <w:rsid w:val="2FB478F7"/>
    <w:rsid w:val="2FC95D81"/>
    <w:rsid w:val="303B299D"/>
    <w:rsid w:val="307504B5"/>
    <w:rsid w:val="31006CD9"/>
    <w:rsid w:val="31041AAE"/>
    <w:rsid w:val="310606C6"/>
    <w:rsid w:val="318656D8"/>
    <w:rsid w:val="31A41555"/>
    <w:rsid w:val="332D2CD8"/>
    <w:rsid w:val="33597986"/>
    <w:rsid w:val="34364FAB"/>
    <w:rsid w:val="362008F7"/>
    <w:rsid w:val="36F721A6"/>
    <w:rsid w:val="37B54E1D"/>
    <w:rsid w:val="37B81BEC"/>
    <w:rsid w:val="37BD720E"/>
    <w:rsid w:val="38181871"/>
    <w:rsid w:val="38787AEA"/>
    <w:rsid w:val="38F92A66"/>
    <w:rsid w:val="39886738"/>
    <w:rsid w:val="3A8676EF"/>
    <w:rsid w:val="3B0E690B"/>
    <w:rsid w:val="3DC84A9A"/>
    <w:rsid w:val="3DFE6052"/>
    <w:rsid w:val="3E0407E2"/>
    <w:rsid w:val="3E495EE7"/>
    <w:rsid w:val="3EF24ED3"/>
    <w:rsid w:val="3FB21705"/>
    <w:rsid w:val="3FE77A82"/>
    <w:rsid w:val="4017186C"/>
    <w:rsid w:val="40AA19D4"/>
    <w:rsid w:val="40E057D3"/>
    <w:rsid w:val="412B3BD0"/>
    <w:rsid w:val="41711287"/>
    <w:rsid w:val="435726A3"/>
    <w:rsid w:val="438845D3"/>
    <w:rsid w:val="43E211E5"/>
    <w:rsid w:val="43F7549F"/>
    <w:rsid w:val="44074471"/>
    <w:rsid w:val="44990137"/>
    <w:rsid w:val="468E2CEF"/>
    <w:rsid w:val="46F05C0A"/>
    <w:rsid w:val="47007902"/>
    <w:rsid w:val="480B07CF"/>
    <w:rsid w:val="497E3370"/>
    <w:rsid w:val="498D25B9"/>
    <w:rsid w:val="49B9177D"/>
    <w:rsid w:val="4AAD17CF"/>
    <w:rsid w:val="4ACE6BDF"/>
    <w:rsid w:val="4B1B2583"/>
    <w:rsid w:val="4C7B4010"/>
    <w:rsid w:val="4CC911A2"/>
    <w:rsid w:val="4CCB0B65"/>
    <w:rsid w:val="4D4A51B9"/>
    <w:rsid w:val="4E306D68"/>
    <w:rsid w:val="4E8C7567"/>
    <w:rsid w:val="4E8E0A8C"/>
    <w:rsid w:val="4EB20057"/>
    <w:rsid w:val="4F3E14BF"/>
    <w:rsid w:val="4F730D0D"/>
    <w:rsid w:val="4FB67A4E"/>
    <w:rsid w:val="50D85556"/>
    <w:rsid w:val="515E7A70"/>
    <w:rsid w:val="517B4F66"/>
    <w:rsid w:val="5209190E"/>
    <w:rsid w:val="52517C78"/>
    <w:rsid w:val="529168E6"/>
    <w:rsid w:val="52FE6E08"/>
    <w:rsid w:val="53226468"/>
    <w:rsid w:val="53B264F4"/>
    <w:rsid w:val="54117BA3"/>
    <w:rsid w:val="54561298"/>
    <w:rsid w:val="54867189"/>
    <w:rsid w:val="549130AC"/>
    <w:rsid w:val="54B57A63"/>
    <w:rsid w:val="54BC611D"/>
    <w:rsid w:val="556E4ACF"/>
    <w:rsid w:val="560618AD"/>
    <w:rsid w:val="577B5528"/>
    <w:rsid w:val="57992D66"/>
    <w:rsid w:val="587B3035"/>
    <w:rsid w:val="58E0609F"/>
    <w:rsid w:val="59BB22D1"/>
    <w:rsid w:val="59DA2EC6"/>
    <w:rsid w:val="59F138CC"/>
    <w:rsid w:val="5ACF512A"/>
    <w:rsid w:val="5B3D02F9"/>
    <w:rsid w:val="5B4A21F6"/>
    <w:rsid w:val="5B7A497E"/>
    <w:rsid w:val="5C3E7DAD"/>
    <w:rsid w:val="5C871D54"/>
    <w:rsid w:val="5CA85FC8"/>
    <w:rsid w:val="5D3C270C"/>
    <w:rsid w:val="5DC03BAD"/>
    <w:rsid w:val="5EB66D4F"/>
    <w:rsid w:val="5FAD1DF9"/>
    <w:rsid w:val="601F6302"/>
    <w:rsid w:val="602B1BBC"/>
    <w:rsid w:val="61536015"/>
    <w:rsid w:val="616923AE"/>
    <w:rsid w:val="619F122B"/>
    <w:rsid w:val="62C47021"/>
    <w:rsid w:val="63257394"/>
    <w:rsid w:val="63B9340E"/>
    <w:rsid w:val="63ED53B7"/>
    <w:rsid w:val="6404247B"/>
    <w:rsid w:val="6455458D"/>
    <w:rsid w:val="65330FEE"/>
    <w:rsid w:val="655F0B40"/>
    <w:rsid w:val="663E38C4"/>
    <w:rsid w:val="667B2FA0"/>
    <w:rsid w:val="66BA48D3"/>
    <w:rsid w:val="6787443F"/>
    <w:rsid w:val="67A33E4D"/>
    <w:rsid w:val="68443BAF"/>
    <w:rsid w:val="692C1847"/>
    <w:rsid w:val="698F20E1"/>
    <w:rsid w:val="69AA012B"/>
    <w:rsid w:val="69CB1013"/>
    <w:rsid w:val="6AA8021D"/>
    <w:rsid w:val="6B237708"/>
    <w:rsid w:val="6BC46931"/>
    <w:rsid w:val="6C7C23F8"/>
    <w:rsid w:val="6D0D7448"/>
    <w:rsid w:val="6E05221F"/>
    <w:rsid w:val="6E3C39C3"/>
    <w:rsid w:val="6EBA35DA"/>
    <w:rsid w:val="6F6C6898"/>
    <w:rsid w:val="703334D2"/>
    <w:rsid w:val="70391CB1"/>
    <w:rsid w:val="70F41257"/>
    <w:rsid w:val="711158B3"/>
    <w:rsid w:val="71AD6345"/>
    <w:rsid w:val="71BF53D6"/>
    <w:rsid w:val="71ED654D"/>
    <w:rsid w:val="72040583"/>
    <w:rsid w:val="720C154E"/>
    <w:rsid w:val="72150491"/>
    <w:rsid w:val="721A1E72"/>
    <w:rsid w:val="721F7183"/>
    <w:rsid w:val="72582173"/>
    <w:rsid w:val="72B73D6C"/>
    <w:rsid w:val="72F025FA"/>
    <w:rsid w:val="73417041"/>
    <w:rsid w:val="7353136B"/>
    <w:rsid w:val="735340BF"/>
    <w:rsid w:val="73656151"/>
    <w:rsid w:val="745449E5"/>
    <w:rsid w:val="74747C07"/>
    <w:rsid w:val="74BA788E"/>
    <w:rsid w:val="74D05C42"/>
    <w:rsid w:val="74D21ED1"/>
    <w:rsid w:val="74FC0165"/>
    <w:rsid w:val="762A42EA"/>
    <w:rsid w:val="77192436"/>
    <w:rsid w:val="77350F71"/>
    <w:rsid w:val="7745190F"/>
    <w:rsid w:val="776269ED"/>
    <w:rsid w:val="77904BBB"/>
    <w:rsid w:val="77AD36DD"/>
    <w:rsid w:val="77B10004"/>
    <w:rsid w:val="77FF0EFA"/>
    <w:rsid w:val="7AF95F25"/>
    <w:rsid w:val="7BA40C79"/>
    <w:rsid w:val="7C1519C1"/>
    <w:rsid w:val="7CCF650C"/>
    <w:rsid w:val="7CD61366"/>
    <w:rsid w:val="7D5C12AC"/>
    <w:rsid w:val="7E202073"/>
    <w:rsid w:val="7E727943"/>
    <w:rsid w:val="7EC040B2"/>
    <w:rsid w:val="7F0F2346"/>
    <w:rsid w:val="7F312660"/>
    <w:rsid w:val="7F72221A"/>
    <w:rsid w:val="7FAD3488"/>
    <w:rsid w:val="7FC4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qFormat/>
    <w:uiPriority w:val="0"/>
    <w:pPr>
      <w:widowControl w:val="0"/>
      <w:spacing w:before="100" w:beforeAutospacing="1" w:after="100" w:afterAutospacing="1"/>
      <w:outlineLvl w:val="2"/>
    </w:pPr>
    <w:rPr>
      <w:rFonts w:hint="eastAsia" w:cs="Times New Roman"/>
      <w:b/>
      <w:sz w:val="27"/>
      <w:szCs w:val="27"/>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562"/>
        <w:tab w:val="left" w:pos="3372"/>
        <w:tab w:val="left" w:pos="3653"/>
      </w:tabs>
    </w:pPr>
    <w:rPr>
      <w:sz w:val="24"/>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ind w:left="420"/>
    </w:pPr>
  </w:style>
  <w:style w:type="paragraph" w:styleId="8">
    <w:name w:val="envelope return"/>
    <w:basedOn w:val="1"/>
    <w:qFormat/>
    <w:uiPriority w:val="0"/>
    <w:pPr>
      <w:autoSpaceDE/>
      <w:autoSpaceDN/>
      <w:adjustRightInd/>
      <w:snapToGrid w:val="0"/>
      <w:jc w:val="both"/>
    </w:pPr>
    <w:rPr>
      <w:rFonts w:ascii="Arial" w:hAnsi="Arial" w:cs="Arial"/>
      <w:kern w:val="2"/>
      <w:sz w:val="21"/>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qFormat/>
    <w:uiPriority w:val="0"/>
    <w:pPr>
      <w:widowControl/>
      <w:spacing w:after="120"/>
      <w:ind w:leftChars="200" w:firstLine="420" w:firstLineChars="200"/>
      <w:jc w:val="left"/>
    </w:pPr>
    <w:rPr>
      <w:rFonts w:ascii="Times New Roman" w:hAnsi="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表格文字"/>
    <w:basedOn w:val="1"/>
    <w:qFormat/>
    <w:uiPriority w:val="0"/>
    <w:pPr>
      <w:spacing w:before="25" w:after="25"/>
      <w:jc w:val="left"/>
    </w:pPr>
    <w:rPr>
      <w:bCs/>
      <w:spacing w:val="10"/>
      <w:kern w:val="0"/>
      <w:szCs w:val="20"/>
    </w:r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2"/>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11"/>
    <w:basedOn w:val="15"/>
    <w:qFormat/>
    <w:uiPriority w:val="0"/>
    <w:rPr>
      <w:rFonts w:hint="eastAsia" w:ascii="宋体" w:hAnsi="宋体" w:eastAsia="宋体" w:cs="宋体"/>
      <w:color w:val="000000"/>
      <w:sz w:val="24"/>
      <w:szCs w:val="24"/>
      <w:u w:val="none"/>
    </w:rPr>
  </w:style>
  <w:style w:type="paragraph" w:customStyle="1" w:styleId="27">
    <w:name w:val="_Style 15"/>
    <w:basedOn w:val="1"/>
    <w:next w:val="1"/>
    <w:qFormat/>
    <w:uiPriority w:val="0"/>
    <w:pPr>
      <w:pBdr>
        <w:bottom w:val="single" w:color="auto" w:sz="6" w:space="1"/>
      </w:pBdr>
      <w:jc w:val="center"/>
    </w:pPr>
    <w:rPr>
      <w:rFonts w:ascii="Arial" w:eastAsia="宋体"/>
      <w:vanish/>
      <w:sz w:val="16"/>
    </w:rPr>
  </w:style>
  <w:style w:type="paragraph" w:customStyle="1" w:styleId="28">
    <w:name w:val="_Style 14"/>
    <w:basedOn w:val="1"/>
    <w:next w:val="1"/>
    <w:qFormat/>
    <w:uiPriority w:val="0"/>
    <w:pPr>
      <w:pBdr>
        <w:top w:val="single" w:color="auto" w:sz="6" w:space="1"/>
      </w:pBdr>
      <w:jc w:val="center"/>
    </w:pPr>
    <w:rPr>
      <w:rFonts w:ascii="Arial" w:eastAsia="宋体"/>
      <w:vanish/>
      <w:sz w:val="16"/>
    </w:rPr>
  </w:style>
  <w:style w:type="paragraph" w:customStyle="1" w:styleId="29">
    <w:name w:val="_Style 17"/>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赖卫江</cp:lastModifiedBy>
  <cp:lastPrinted>2023-10-24T06:13:00Z</cp:lastPrinted>
  <dcterms:modified xsi:type="dcterms:W3CDTF">2024-07-16T02:22:08Z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