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广东省河源监狱AB栋备勤房及</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综合楼安装净水器项目采购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市场比价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w:t>
      </w:r>
      <w:r>
        <w:rPr>
          <w:rFonts w:hint="eastAsia" w:ascii="仿宋_GB2312" w:hAnsi="宋体" w:eastAsia="仿宋_GB2312"/>
          <w:sz w:val="32"/>
          <w:szCs w:val="32"/>
          <w:lang w:val="en-US" w:eastAsia="zh-CN"/>
        </w:rPr>
        <w:t>取AB栋备勤房及综合楼安装净水器项目合</w:t>
      </w:r>
      <w:r>
        <w:rPr>
          <w:rFonts w:hint="eastAsia" w:ascii="仿宋_GB2312" w:hAnsi="宋体" w:eastAsia="仿宋_GB2312" w:cs="Times New Roman"/>
          <w:sz w:val="32"/>
          <w:szCs w:val="32"/>
          <w:lang w:val="en-US" w:eastAsia="zh-CN"/>
        </w:rPr>
        <w:t>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2024041</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广东省河源监狱AB栋备勤房及综合楼安装净水器项目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人民币128118元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市场比价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7</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25</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7</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26</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bookmarkStart w:id="1" w:name="_GoBack"/>
      <w:bookmarkEnd w:id="1"/>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7</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26</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广东省河源监狱AB栋备勤房及综合楼安装净水器项目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4F2B20"/>
    <w:rsid w:val="01651B8A"/>
    <w:rsid w:val="01FA3505"/>
    <w:rsid w:val="03F80B01"/>
    <w:rsid w:val="04BF6926"/>
    <w:rsid w:val="04C13C0E"/>
    <w:rsid w:val="04C2193F"/>
    <w:rsid w:val="05CD4E42"/>
    <w:rsid w:val="069B401A"/>
    <w:rsid w:val="075963A5"/>
    <w:rsid w:val="0A9011E3"/>
    <w:rsid w:val="0AB37940"/>
    <w:rsid w:val="0B6C3638"/>
    <w:rsid w:val="0BF12441"/>
    <w:rsid w:val="0CD32783"/>
    <w:rsid w:val="0DB52719"/>
    <w:rsid w:val="10CF69EA"/>
    <w:rsid w:val="11004202"/>
    <w:rsid w:val="135076DF"/>
    <w:rsid w:val="14B608B5"/>
    <w:rsid w:val="14DF0690"/>
    <w:rsid w:val="18D07B28"/>
    <w:rsid w:val="1B840EC2"/>
    <w:rsid w:val="1BAD2E9F"/>
    <w:rsid w:val="1BDF0D27"/>
    <w:rsid w:val="1E845087"/>
    <w:rsid w:val="1F676DCB"/>
    <w:rsid w:val="1F7F1BAF"/>
    <w:rsid w:val="1F9856F3"/>
    <w:rsid w:val="1FF62D70"/>
    <w:rsid w:val="21B02473"/>
    <w:rsid w:val="21CA5A1F"/>
    <w:rsid w:val="22141875"/>
    <w:rsid w:val="23310E72"/>
    <w:rsid w:val="23786F21"/>
    <w:rsid w:val="245D658A"/>
    <w:rsid w:val="24B7784D"/>
    <w:rsid w:val="250B0494"/>
    <w:rsid w:val="26063C96"/>
    <w:rsid w:val="260E7BC7"/>
    <w:rsid w:val="27616D07"/>
    <w:rsid w:val="288B3DFB"/>
    <w:rsid w:val="294F0650"/>
    <w:rsid w:val="2AAD19E9"/>
    <w:rsid w:val="2C0C6563"/>
    <w:rsid w:val="307746B8"/>
    <w:rsid w:val="309E7B18"/>
    <w:rsid w:val="31DB71D2"/>
    <w:rsid w:val="336749DE"/>
    <w:rsid w:val="339B53CE"/>
    <w:rsid w:val="36842C12"/>
    <w:rsid w:val="36F73A81"/>
    <w:rsid w:val="37734C3E"/>
    <w:rsid w:val="389A641B"/>
    <w:rsid w:val="38FB3CE5"/>
    <w:rsid w:val="3A525BC1"/>
    <w:rsid w:val="3AD41225"/>
    <w:rsid w:val="3B361068"/>
    <w:rsid w:val="3BD80978"/>
    <w:rsid w:val="3DC772C7"/>
    <w:rsid w:val="3E5D5069"/>
    <w:rsid w:val="3EE242F0"/>
    <w:rsid w:val="3F1F12C2"/>
    <w:rsid w:val="3F5A5B32"/>
    <w:rsid w:val="404F732E"/>
    <w:rsid w:val="406A1411"/>
    <w:rsid w:val="421019E9"/>
    <w:rsid w:val="43883C88"/>
    <w:rsid w:val="43912FC5"/>
    <w:rsid w:val="4A287368"/>
    <w:rsid w:val="4A443D20"/>
    <w:rsid w:val="4A7218E4"/>
    <w:rsid w:val="4C451998"/>
    <w:rsid w:val="4D8461F9"/>
    <w:rsid w:val="4E64722D"/>
    <w:rsid w:val="4FC410E5"/>
    <w:rsid w:val="52B67B3E"/>
    <w:rsid w:val="549719EE"/>
    <w:rsid w:val="54B1265F"/>
    <w:rsid w:val="54F11A26"/>
    <w:rsid w:val="562B7CA9"/>
    <w:rsid w:val="57980D99"/>
    <w:rsid w:val="58843E89"/>
    <w:rsid w:val="59841760"/>
    <w:rsid w:val="59A1605A"/>
    <w:rsid w:val="5B2D5432"/>
    <w:rsid w:val="5C0C52F9"/>
    <w:rsid w:val="5E315EBE"/>
    <w:rsid w:val="5E417445"/>
    <w:rsid w:val="5F2D2681"/>
    <w:rsid w:val="5F887658"/>
    <w:rsid w:val="5F950D57"/>
    <w:rsid w:val="5FD8100C"/>
    <w:rsid w:val="60CB3B16"/>
    <w:rsid w:val="60F65136"/>
    <w:rsid w:val="619B7863"/>
    <w:rsid w:val="63761F12"/>
    <w:rsid w:val="64822072"/>
    <w:rsid w:val="649C2E2B"/>
    <w:rsid w:val="649E1554"/>
    <w:rsid w:val="64F41503"/>
    <w:rsid w:val="652B29C4"/>
    <w:rsid w:val="66F86908"/>
    <w:rsid w:val="673A25D4"/>
    <w:rsid w:val="67960CE3"/>
    <w:rsid w:val="68DA6484"/>
    <w:rsid w:val="6B132005"/>
    <w:rsid w:val="6B884BBF"/>
    <w:rsid w:val="6BD4308E"/>
    <w:rsid w:val="6C1135C9"/>
    <w:rsid w:val="6C5A43E1"/>
    <w:rsid w:val="6EA349E9"/>
    <w:rsid w:val="6EE35310"/>
    <w:rsid w:val="6FEE01A0"/>
    <w:rsid w:val="70876BC2"/>
    <w:rsid w:val="723B2504"/>
    <w:rsid w:val="73454680"/>
    <w:rsid w:val="738E6FDF"/>
    <w:rsid w:val="77F75E14"/>
    <w:rsid w:val="79AC6DB0"/>
    <w:rsid w:val="7A443591"/>
    <w:rsid w:val="7A622C89"/>
    <w:rsid w:val="7A7328C0"/>
    <w:rsid w:val="7A9307A5"/>
    <w:rsid w:val="7B291A51"/>
    <w:rsid w:val="7B5C7B5D"/>
    <w:rsid w:val="7B764364"/>
    <w:rsid w:val="7B9F4FD6"/>
    <w:rsid w:val="7BE9235E"/>
    <w:rsid w:val="7CE45A4D"/>
    <w:rsid w:val="7D217E60"/>
    <w:rsid w:val="7E031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3</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赖卫江</cp:lastModifiedBy>
  <cp:lastPrinted>2023-08-21T01:08:00Z</cp:lastPrinted>
  <dcterms:modified xsi:type="dcterms:W3CDTF">2024-07-18T06:41:40Z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