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2024043</w:t>
      </w:r>
      <w:bookmarkStart w:id="0" w:name="_GoBack"/>
      <w:bookmarkEnd w:id="0"/>
      <w:r>
        <w:rPr>
          <w:rFonts w:hint="eastAsia"/>
          <w:sz w:val="32"/>
          <w:szCs w:val="32"/>
          <w:u w:val="single"/>
          <w:lang w:val="en-US" w:eastAsia="zh-CN"/>
        </w:rPr>
        <w:t xml:space="preserve">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工会清凉饮品</w:t>
      </w:r>
      <w:r>
        <w:rPr>
          <w:rFonts w:hint="eastAsia" w:asciiTheme="minorEastAsia" w:hAnsiTheme="minorEastAsia" w:eastAsiaTheme="minorEastAsia" w:cstheme="minorEastAsia"/>
          <w:sz w:val="32"/>
          <w:szCs w:val="32"/>
          <w:u w:val="single"/>
          <w:lang w:val="en-US" w:eastAsia="zh-CN"/>
        </w:rPr>
        <w:t xml:space="preserve">采购项目  </w:t>
      </w:r>
    </w:p>
    <w:p>
      <w:pPr>
        <w:ind w:left="0" w:leftChars="0" w:firstLine="640" w:firstLineChars="200"/>
        <w:rPr>
          <w:rFonts w:hint="default" w:eastAsiaTheme="minorEastAsia"/>
          <w:sz w:val="32"/>
          <w:szCs w:val="32"/>
          <w:lang w:val="en-US" w:eastAsia="zh-CN"/>
        </w:rPr>
      </w:pPr>
      <w:r>
        <w:rPr>
          <w:rFonts w:hint="eastAsia"/>
          <w:sz w:val="32"/>
          <w:szCs w:val="32"/>
        </w:rPr>
        <w:t>采购方式：</w:t>
      </w:r>
      <w:r>
        <w:rPr>
          <w:rFonts w:hint="eastAsia"/>
          <w:sz w:val="32"/>
          <w:szCs w:val="32"/>
          <w:u w:val="single"/>
          <w:lang w:val="en-US" w:eastAsia="zh-CN"/>
        </w:rPr>
        <w:t xml:space="preserve">   市场比价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18"/>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7</w:t>
      </w:r>
      <w:r>
        <w:rPr>
          <w:rFonts w:hint="eastAsia"/>
          <w:sz w:val="32"/>
          <w:szCs w:val="32"/>
        </w:rPr>
        <w:t>月</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5"/>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5"/>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5"/>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5"/>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18"/>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3"/>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eastAsiaTheme="minorEastAsia" w:cstheme="minorEastAsia"/>
          <w:sz w:val="21"/>
          <w:szCs w:val="21"/>
          <w:lang w:eastAsia="zh-CN"/>
        </w:rPr>
        <w:t>比价</w:t>
      </w:r>
      <w:r>
        <w:rPr>
          <w:rFonts w:hint="eastAsia" w:asciiTheme="minorEastAsia" w:hAnsiTheme="minorEastAsia" w:eastAsiaTheme="minorEastAsia" w:cstheme="minorEastAsia"/>
          <w:sz w:val="21"/>
          <w:szCs w:val="21"/>
        </w:rPr>
        <w:t>文件资料承担责任。</w:t>
      </w:r>
    </w:p>
    <w:p>
      <w:pPr>
        <w:pStyle w:val="13"/>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家，投标报价最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比价文件中，如标有“★”的条款均为必须完全满足指标，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18"/>
        <w:pageBreakBefore w:val="0"/>
        <w:kinsoku/>
        <w:wordWrap/>
        <w:overflowPunct/>
        <w:topLinePunct w:val="0"/>
        <w:bidi w:val="0"/>
        <w:spacing w:line="340" w:lineRule="exact"/>
        <w:rPr>
          <w:rFonts w:hint="eastAsia"/>
          <w:lang w:eastAsia="zh-CN"/>
        </w:rPr>
      </w:pPr>
    </w:p>
    <w:p>
      <w:pPr>
        <w:pStyle w:val="18"/>
        <w:pageBreakBefore w:val="0"/>
        <w:kinsoku/>
        <w:wordWrap/>
        <w:overflowPunct/>
        <w:topLinePunct w:val="0"/>
        <w:bidi w:val="0"/>
        <w:spacing w:line="340" w:lineRule="exact"/>
        <w:rPr>
          <w:rFonts w:hint="eastAsia"/>
          <w:lang w:eastAsia="zh-CN"/>
        </w:rPr>
      </w:pPr>
    </w:p>
    <w:p>
      <w:pPr>
        <w:pStyle w:val="18"/>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outlineLvl w:val="9"/>
        <w:rPr>
          <w:rFonts w:hint="eastAsia" w:asciiTheme="minorEastAsia" w:hAnsiTheme="minorEastAsia" w:eastAsiaTheme="minorEastAsia" w:cstheme="minorEastAsia"/>
          <w:b/>
          <w:bCs/>
          <w:sz w:val="21"/>
          <w:szCs w:val="21"/>
        </w:rPr>
      </w:pPr>
    </w:p>
    <w:p>
      <w:pPr>
        <w:numPr>
          <w:ilvl w:val="0"/>
          <w:numId w:val="0"/>
        </w:num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lang w:eastAsia="zh-CN"/>
        </w:rPr>
        <w:t>项目概</w:t>
      </w:r>
      <w:r>
        <w:rPr>
          <w:rFonts w:hint="eastAsia" w:asciiTheme="minorEastAsia" w:hAnsiTheme="minorEastAsia" w:eastAsiaTheme="minorEastAsia" w:cstheme="minorEastAsia"/>
          <w:sz w:val="21"/>
          <w:szCs w:val="21"/>
          <w:lang w:val="en-US" w:eastAsia="zh-CN"/>
        </w:rPr>
        <w:t>况</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为做好防暑降温工作，</w:t>
      </w:r>
      <w:r>
        <w:rPr>
          <w:rFonts w:hint="eastAsia" w:asciiTheme="minorEastAsia" w:hAnsiTheme="minorEastAsia" w:eastAsiaTheme="minorEastAsia" w:cstheme="minorEastAsia"/>
          <w:sz w:val="21"/>
          <w:szCs w:val="21"/>
          <w:lang w:eastAsia="zh-CN"/>
        </w:rPr>
        <w:t>保障广大会员的健康安全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采购人拟购买一批清凉饮品。</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二、预算金额：人民币15</w:t>
      </w:r>
      <w:r>
        <w:rPr>
          <w:rFonts w:hint="eastAsia" w:asciiTheme="minorEastAsia" w:hAnsiTheme="minorEastAsia" w:cstheme="minorEastAsia"/>
          <w:sz w:val="21"/>
          <w:szCs w:val="21"/>
          <w:lang w:val="en-US" w:eastAsia="zh-CN"/>
        </w:rPr>
        <w:t>0000.00</w:t>
      </w:r>
      <w:r>
        <w:rPr>
          <w:rFonts w:hint="eastAsia" w:asciiTheme="minorEastAsia" w:hAnsiTheme="minorEastAsia" w:eastAsiaTheme="minorEastAsia" w:cstheme="minorEastAsia"/>
          <w:sz w:val="21"/>
          <w:szCs w:val="21"/>
        </w:rPr>
        <w:t>元。</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三、标的数量、规格、型号</w:t>
      </w:r>
    </w:p>
    <w:tbl>
      <w:tblPr>
        <w:tblStyle w:val="17"/>
        <w:tblpPr w:leftFromText="180" w:rightFromText="180" w:vertAnchor="text" w:horzAnchor="page" w:tblpX="1875" w:tblpY="246"/>
        <w:tblOverlap w:val="never"/>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514"/>
        <w:gridCol w:w="2256"/>
        <w:gridCol w:w="88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977"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2514"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商品名称</w:t>
            </w:r>
          </w:p>
        </w:tc>
        <w:tc>
          <w:tcPr>
            <w:tcW w:w="2256"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w:t>
            </w:r>
          </w:p>
        </w:tc>
        <w:tc>
          <w:tcPr>
            <w:tcW w:w="886"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单位</w:t>
            </w:r>
          </w:p>
        </w:tc>
        <w:tc>
          <w:tcPr>
            <w:tcW w:w="1607" w:type="dxa"/>
            <w:vAlign w:val="center"/>
          </w:tcPr>
          <w:p>
            <w:pPr>
              <w:numPr>
                <w:ilvl w:val="0"/>
                <w:numId w:val="0"/>
              </w:num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单价最</w:t>
            </w:r>
            <w:r>
              <w:rPr>
                <w:rFonts w:hint="eastAsia" w:asciiTheme="minorEastAsia" w:hAnsiTheme="minorEastAsia" w:eastAsiaTheme="minorEastAsia" w:cstheme="minorEastAsia"/>
                <w:sz w:val="21"/>
                <w:szCs w:val="21"/>
                <w:lang w:val="en-US" w:eastAsia="zh-CN"/>
              </w:rPr>
              <w:t>高</w:t>
            </w:r>
          </w:p>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977" w:type="dxa"/>
            <w:vAlign w:val="top"/>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514" w:type="dxa"/>
            <w:vAlign w:val="center"/>
          </w:tcPr>
          <w:p>
            <w:pPr>
              <w:numPr>
                <w:ilvl w:val="0"/>
                <w:numId w:val="0"/>
              </w:num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佳得乐电解质运动饮料</w:t>
            </w:r>
          </w:p>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（蓝莓口味）</w:t>
            </w:r>
          </w:p>
        </w:tc>
        <w:tc>
          <w:tcPr>
            <w:tcW w:w="2256"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600ml/瓶，15瓶/件</w:t>
            </w:r>
          </w:p>
        </w:tc>
        <w:tc>
          <w:tcPr>
            <w:tcW w:w="886"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件</w:t>
            </w:r>
          </w:p>
        </w:tc>
        <w:tc>
          <w:tcPr>
            <w:tcW w:w="1607"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977" w:type="dxa"/>
            <w:vAlign w:val="top"/>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514"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霍山矿泉包装饮用水</w:t>
            </w:r>
          </w:p>
        </w:tc>
        <w:tc>
          <w:tcPr>
            <w:tcW w:w="2256"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330ml/瓶，24瓶/件</w:t>
            </w:r>
          </w:p>
        </w:tc>
        <w:tc>
          <w:tcPr>
            <w:tcW w:w="886"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件</w:t>
            </w:r>
          </w:p>
        </w:tc>
        <w:tc>
          <w:tcPr>
            <w:tcW w:w="1607"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977" w:type="dxa"/>
            <w:vAlign w:val="top"/>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514"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龟康宝龟苓膏</w:t>
            </w:r>
          </w:p>
        </w:tc>
        <w:tc>
          <w:tcPr>
            <w:tcW w:w="2256"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100g/杯，12杯/箱</w:t>
            </w:r>
          </w:p>
        </w:tc>
        <w:tc>
          <w:tcPr>
            <w:tcW w:w="886"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箱</w:t>
            </w:r>
          </w:p>
        </w:tc>
        <w:tc>
          <w:tcPr>
            <w:tcW w:w="1607" w:type="dxa"/>
            <w:vAlign w:val="center"/>
          </w:tcPr>
          <w:p>
            <w:pPr>
              <w:numPr>
                <w:ilvl w:val="0"/>
                <w:numId w:val="0"/>
              </w:num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w:t>
            </w:r>
          </w:p>
        </w:tc>
      </w:tr>
    </w:tbl>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四、质量要求</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（一）商品自配送之日计算，剩余保质期不得低于标明保质期的2/3。</w:t>
      </w:r>
    </w:p>
    <w:p>
      <w:pPr>
        <w:numPr>
          <w:ilvl w:val="0"/>
          <w:numId w:val="0"/>
        </w:numPr>
        <w:ind w:left="0" w:leftChars="0"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（二）供应商提供的货物应确保为正品，其质量、规格及数量等必须与</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lang w:val="en-US" w:eastAsia="zh-CN"/>
        </w:rPr>
        <w:t>的要求相符，尤其应确保货物无毒无害，确保货物卫生及食用或使用安全。</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五、服务标准</w:t>
      </w:r>
    </w:p>
    <w:p>
      <w:pPr>
        <w:numPr>
          <w:ilvl w:val="0"/>
          <w:numId w:val="0"/>
        </w:numPr>
        <w:ind w:left="0" w:leftChars="0"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（一）按</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lang w:val="en-US" w:eastAsia="zh-CN"/>
        </w:rPr>
        <w:t>要求在规定期限内一次性配送。供应商需自行安排人员卸货，并将货物按要求摆放至</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lang w:val="en-US" w:eastAsia="zh-CN"/>
        </w:rPr>
        <w:t>指定的地点。</w:t>
      </w:r>
    </w:p>
    <w:p>
      <w:pPr>
        <w:numPr>
          <w:ilvl w:val="0"/>
          <w:numId w:val="0"/>
        </w:numPr>
        <w:ind w:left="0" w:leftChars="0"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（二）装卸货期间的一切安全事宜均由供应商自行承担责任。</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六、物品交付期限</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供应商中标后一个月内或签订合同后15日内配送，最迟配送时间在2024年8月30日前。</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供应商资质条件</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具有独立承担民事责任的在中华人民共和国内注册的法人或其他组织，具有履行本项目所必需的设备和专业技术能力。</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八、款项支付</w:t>
      </w: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货物经验收合格后，在收到供应商提供的有效发票后，15日内完成资金支付。</w:t>
      </w:r>
    </w:p>
    <w:p>
      <w:pPr>
        <w:numPr>
          <w:ilvl w:val="0"/>
          <w:numId w:val="0"/>
        </w:numPr>
        <w:ind w:left="0" w:leftChars="0"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九、</w:t>
      </w:r>
      <w:r>
        <w:rPr>
          <w:rFonts w:hint="eastAsia" w:asciiTheme="minorEastAsia" w:hAnsiTheme="minorEastAsia" w:eastAsiaTheme="minorEastAsia" w:cstheme="minorEastAsia"/>
          <w:sz w:val="21"/>
          <w:szCs w:val="21"/>
          <w:lang w:val="en-US" w:eastAsia="zh-CN"/>
        </w:rPr>
        <w:t>验收标准：对照合同进行验收，货物的数量、规格、型号与合同一致，质量符合相关标准。</w:t>
      </w:r>
    </w:p>
    <w:p>
      <w:pPr>
        <w:numPr>
          <w:ilvl w:val="0"/>
          <w:numId w:val="0"/>
        </w:numPr>
        <w:ind w:left="0" w:leftChars="0" w:firstLine="420" w:firstLineChars="200"/>
        <w:rPr>
          <w:rFonts w:hint="eastAsia" w:asciiTheme="minorEastAsia" w:hAnsiTheme="minorEastAsia" w:eastAsiaTheme="minorEastAsia" w:cstheme="minorEastAsia"/>
          <w:sz w:val="21"/>
          <w:szCs w:val="21"/>
          <w:lang w:eastAsia="zh-CN"/>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18"/>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广东省河源监狱工会清凉饮品采购项目</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18"/>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w:t>
      </w:r>
      <w:r>
        <w:rPr>
          <w:rFonts w:hint="eastAsia"/>
          <w:b w:val="0"/>
          <w:bCs w:val="0"/>
          <w:sz w:val="32"/>
          <w:szCs w:val="32"/>
        </w:rPr>
        <w:t>供应商资格声明函</w:t>
      </w:r>
      <w:r>
        <w:rPr>
          <w:rFonts w:hint="eastAsia" w:asciiTheme="minorEastAsia" w:hAnsiTheme="minorEastAsia" w:eastAsiaTheme="minorEastAsia" w:cstheme="minorEastAsia"/>
          <w:b w:val="0"/>
          <w:bCs w:val="0"/>
          <w:color w:val="00000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b w:val="0"/>
          <w:bCs w:val="0"/>
          <w:color w:val="000000"/>
          <w:sz w:val="32"/>
          <w:szCs w:val="32"/>
          <w:lang w:val="en-US" w:eastAsia="zh-CN"/>
        </w:rPr>
        <w:t>四、</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五、授权委托书（如需授权）…………………………5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六、</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1"/>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根据贵方为本采购项目的报价邀请，我方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5"/>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广东省河源监狱工会清凉饮品采购项目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8"/>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sz w:val="21"/>
          <w:szCs w:val="21"/>
          <w:u w:val="single"/>
          <w:lang w:val="en-US" w:eastAsia="zh-CN"/>
        </w:rPr>
        <w:t>广东省河源监狱</w:t>
      </w:r>
      <w:r>
        <w:rPr>
          <w:rFonts w:hint="eastAsia" w:asciiTheme="minorEastAsia" w:hAnsiTheme="minorEastAsia" w:cstheme="minorEastAsia"/>
          <w:sz w:val="21"/>
          <w:szCs w:val="21"/>
          <w:u w:val="single"/>
          <w:lang w:val="en-US" w:eastAsia="zh-CN"/>
        </w:rPr>
        <w:t>工会清凉饮品</w:t>
      </w:r>
      <w:r>
        <w:rPr>
          <w:rFonts w:hint="eastAsia" w:asciiTheme="minorEastAsia" w:hAnsiTheme="minorEastAsia" w:eastAsiaTheme="minorEastAsia" w:cstheme="minorEastAsia"/>
          <w:sz w:val="21"/>
          <w:szCs w:val="21"/>
          <w:u w:val="single"/>
          <w:lang w:val="en-US" w:eastAsia="zh-CN"/>
        </w:rPr>
        <w:t>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比价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8"/>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8"/>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8"/>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广东省河源监狱工会清凉饮品采购项目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18"/>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2"/>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7"/>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539"/>
        <w:gridCol w:w="1693"/>
        <w:gridCol w:w="205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719" w:type="dxa"/>
            <w:vAlign w:val="center"/>
          </w:tcPr>
          <w:p>
            <w:pPr>
              <w:pStyle w:val="8"/>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539" w:type="dxa"/>
            <w:vAlign w:val="center"/>
          </w:tcPr>
          <w:p>
            <w:pPr>
              <w:pStyle w:val="8"/>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693" w:type="dxa"/>
            <w:vAlign w:val="center"/>
          </w:tcPr>
          <w:p>
            <w:pPr>
              <w:pStyle w:val="8"/>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052" w:type="dxa"/>
            <w:vAlign w:val="center"/>
          </w:tcPr>
          <w:p>
            <w:pPr>
              <w:pStyle w:val="8"/>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单价下浮率</w:t>
            </w:r>
          </w:p>
          <w:p>
            <w:pPr>
              <w:pStyle w:val="8"/>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报价（%）</w:t>
            </w:r>
          </w:p>
        </w:tc>
        <w:tc>
          <w:tcPr>
            <w:tcW w:w="1356" w:type="dxa"/>
            <w:vAlign w:val="center"/>
          </w:tcPr>
          <w:p>
            <w:pPr>
              <w:pStyle w:val="8"/>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1719" w:type="dxa"/>
            <w:vAlign w:val="center"/>
          </w:tcPr>
          <w:p>
            <w:pPr>
              <w:pStyle w:val="8"/>
              <w:pageBreakBefore w:val="0"/>
              <w:kinsoku/>
              <w:wordWrap/>
              <w:overflowPunct/>
              <w:topLinePunct w:val="0"/>
              <w:bidi w:val="0"/>
              <w:spacing w:line="340" w:lineRule="exact"/>
              <w:jc w:val="both"/>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r>
              <w:rPr>
                <w:rFonts w:hint="eastAsia" w:asciiTheme="minorEastAsia" w:hAnsiTheme="minorEastAsia" w:cstheme="minorEastAsia"/>
                <w:sz w:val="28"/>
                <w:szCs w:val="28"/>
                <w:u w:val="none"/>
                <w:lang w:val="en-US" w:eastAsia="zh-CN"/>
              </w:rPr>
              <w:t>广东省河源监狱工会清凉饮品采购项目</w:t>
            </w:r>
          </w:p>
        </w:tc>
        <w:tc>
          <w:tcPr>
            <w:tcW w:w="1539" w:type="dxa"/>
            <w:vAlign w:val="center"/>
          </w:tcPr>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批</w:t>
            </w:r>
          </w:p>
        </w:tc>
        <w:tc>
          <w:tcPr>
            <w:tcW w:w="1693" w:type="dxa"/>
            <w:vAlign w:val="center"/>
          </w:tcPr>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052" w:type="dxa"/>
            <w:vAlign w:val="center"/>
          </w:tcPr>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56" w:type="dxa"/>
            <w:vAlign w:val="center"/>
          </w:tcPr>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pageBreakBefore w:val="0"/>
        <w:kinsoku/>
        <w:wordWrap/>
        <w:overflowPunct/>
        <w:topLinePunct w:val="0"/>
        <w:bidi w:val="0"/>
        <w:spacing w:line="340" w:lineRule="exact"/>
        <w:rPr>
          <w:rFonts w:hint="eastAsia" w:ascii="宋体" w:hAnsi="宋体"/>
          <w:b w:val="0"/>
          <w:bCs/>
          <w:spacing w:val="4"/>
          <w:sz w:val="21"/>
          <w:szCs w:val="21"/>
        </w:rPr>
      </w:pPr>
    </w:p>
    <w:p>
      <w:pPr>
        <w:pageBreakBefore w:val="0"/>
        <w:kinsoku/>
        <w:wordWrap/>
        <w:overflowPunct/>
        <w:topLinePunct w:val="0"/>
        <w:bidi w:val="0"/>
        <w:spacing w:line="340" w:lineRule="exact"/>
        <w:rPr>
          <w:rFonts w:ascii="宋体" w:hAnsi="宋体"/>
          <w:b w:val="0"/>
          <w:bCs/>
          <w:spacing w:val="4"/>
          <w:sz w:val="21"/>
          <w:szCs w:val="21"/>
        </w:rPr>
      </w:pPr>
      <w:r>
        <w:rPr>
          <w:rFonts w:hint="eastAsia" w:ascii="宋体" w:hAnsi="宋体"/>
          <w:b w:val="0"/>
          <w:bCs/>
          <w:spacing w:val="4"/>
          <w:sz w:val="21"/>
          <w:szCs w:val="21"/>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18" w:firstLineChars="192"/>
        <w:jc w:val="left"/>
        <w:textAlignment w:val="auto"/>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1.供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pStyle w:val="13"/>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b w:val="0"/>
          <w:bCs/>
          <w:color w:val="auto"/>
          <w:sz w:val="21"/>
          <w:szCs w:val="21"/>
          <w:u w:val="none"/>
          <w:lang w:val="en-US" w:eastAsia="zh-CN"/>
        </w:rPr>
      </w:pPr>
      <w:r>
        <w:rPr>
          <w:rFonts w:hint="eastAsia" w:asciiTheme="minorEastAsia" w:hAnsiTheme="minorEastAsia"/>
          <w:b w:val="0"/>
          <w:bCs/>
          <w:color w:val="auto"/>
          <w:sz w:val="21"/>
          <w:szCs w:val="21"/>
          <w:highlight w:val="none"/>
          <w:u w:val="none"/>
          <w:lang w:val="en-US" w:eastAsia="zh-CN"/>
        </w:rPr>
        <w:t>2.</w:t>
      </w:r>
      <w:r>
        <w:rPr>
          <w:rFonts w:hint="eastAsia" w:asciiTheme="minorEastAsia" w:hAnsiTheme="minorEastAsia" w:eastAsiaTheme="minorEastAsia"/>
          <w:b w:val="0"/>
          <w:bCs/>
          <w:color w:val="auto"/>
          <w:sz w:val="21"/>
          <w:szCs w:val="21"/>
          <w:u w:val="none"/>
        </w:rPr>
        <w:t>所有价格均系用人民币表示，单位为元，均</w:t>
      </w:r>
      <w:r>
        <w:rPr>
          <w:rFonts w:hint="eastAsia" w:ascii="宋体" w:hAnsi="宋体"/>
          <w:b w:val="0"/>
          <w:bCs/>
          <w:spacing w:val="4"/>
          <w:sz w:val="21"/>
          <w:szCs w:val="21"/>
          <w:u w:val="none"/>
        </w:rPr>
        <w:t>包含产品价格、</w:t>
      </w:r>
      <w:r>
        <w:rPr>
          <w:rFonts w:hint="eastAsia" w:ascii="宋体" w:hAnsi="宋体"/>
          <w:b w:val="0"/>
          <w:bCs/>
          <w:spacing w:val="4"/>
          <w:sz w:val="21"/>
          <w:szCs w:val="21"/>
          <w:u w:val="none"/>
          <w:lang w:val="en-US" w:eastAsia="zh-CN"/>
        </w:rPr>
        <w:t>分装、</w:t>
      </w:r>
      <w:r>
        <w:rPr>
          <w:rFonts w:hint="eastAsia" w:ascii="宋体" w:hAnsi="宋体"/>
          <w:b w:val="0"/>
          <w:bCs/>
          <w:spacing w:val="4"/>
          <w:sz w:val="21"/>
          <w:szCs w:val="21"/>
          <w:u w:val="none"/>
          <w:lang w:eastAsia="zh-CN"/>
        </w:rPr>
        <w:t>运输、</w:t>
      </w:r>
      <w:r>
        <w:rPr>
          <w:rFonts w:hint="eastAsia" w:ascii="宋体" w:hAnsi="宋体"/>
          <w:b w:val="0"/>
          <w:bCs/>
          <w:spacing w:val="4"/>
          <w:sz w:val="21"/>
          <w:szCs w:val="21"/>
          <w:u w:val="none"/>
          <w:lang w:val="en-US" w:eastAsia="zh-CN"/>
        </w:rPr>
        <w:t>装卸、</w:t>
      </w:r>
      <w:r>
        <w:rPr>
          <w:rFonts w:hint="eastAsia" w:ascii="宋体" w:hAnsi="宋体"/>
          <w:b w:val="0"/>
          <w:bCs/>
          <w:spacing w:val="4"/>
          <w:sz w:val="21"/>
          <w:szCs w:val="21"/>
          <w:u w:val="none"/>
        </w:rPr>
        <w:t>税金等一切费用</w:t>
      </w:r>
      <w:r>
        <w:rPr>
          <w:rFonts w:hint="eastAsia" w:ascii="宋体" w:hAnsi="宋体"/>
          <w:b w:val="0"/>
          <w:bCs/>
          <w:spacing w:val="4"/>
          <w:sz w:val="21"/>
          <w:szCs w:val="21"/>
          <w:u w:val="none"/>
          <w:lang w:val="en-US" w:eastAsia="zh-CN"/>
        </w:rPr>
        <w:t>；</w:t>
      </w:r>
    </w:p>
    <w:p>
      <w:pPr>
        <w:widowControl/>
        <w:numPr>
          <w:ilvl w:val="0"/>
          <w:numId w:val="0"/>
        </w:numPr>
        <w:shd w:val="clear" w:color="auto" w:fill="FFFFFF"/>
        <w:spacing w:line="276" w:lineRule="auto"/>
        <w:ind w:left="0" w:leftChars="0" w:firstLine="420" w:firstLineChars="200"/>
        <w:jc w:val="left"/>
        <w:rPr>
          <w:rFonts w:ascii="宋体" w:hAnsi="宋体"/>
          <w:b w:val="0"/>
          <w:bCs/>
          <w:color w:val="auto"/>
          <w:u w:val="none"/>
        </w:rPr>
      </w:pPr>
      <w:r>
        <w:rPr>
          <w:rFonts w:hint="eastAsia" w:ascii="宋体" w:hAnsi="宋体"/>
          <w:b w:val="0"/>
          <w:bCs/>
          <w:color w:val="auto"/>
          <w:u w:val="none"/>
          <w:lang w:val="en-US" w:eastAsia="zh-CN"/>
        </w:rPr>
        <w:t>3.</w:t>
      </w:r>
      <w:r>
        <w:rPr>
          <w:rFonts w:ascii="宋体" w:hAnsi="宋体"/>
          <w:b w:val="0"/>
          <w:bCs/>
          <w:color w:val="auto"/>
          <w:u w:val="none"/>
        </w:rPr>
        <w:t>下浮率报价</w:t>
      </w:r>
      <w:r>
        <w:rPr>
          <w:rFonts w:hint="eastAsia" w:ascii="宋体" w:hAnsi="宋体"/>
          <w:b w:val="0"/>
          <w:bCs/>
          <w:color w:val="auto"/>
          <w:u w:val="none"/>
          <w:lang w:val="en-US" w:eastAsia="zh-CN"/>
        </w:rPr>
        <w:t>不得</w:t>
      </w:r>
      <w:r>
        <w:rPr>
          <w:rFonts w:ascii="宋体" w:hAnsi="宋体"/>
          <w:b w:val="0"/>
          <w:bCs/>
          <w:color w:val="auto"/>
          <w:u w:val="none"/>
        </w:rPr>
        <w:t>大于或等于</w:t>
      </w:r>
      <w:r>
        <w:rPr>
          <w:rFonts w:hint="eastAsia" w:ascii="宋体" w:hAnsi="宋体"/>
          <w:b w:val="0"/>
          <w:bCs/>
          <w:color w:val="auto"/>
          <w:u w:val="none"/>
        </w:rPr>
        <w:t>100</w:t>
      </w:r>
      <w:r>
        <w:rPr>
          <w:rFonts w:ascii="宋体" w:hAnsi="宋体"/>
          <w:b w:val="0"/>
          <w:bCs/>
          <w:color w:val="auto"/>
          <w:u w:val="none"/>
        </w:rPr>
        <w:t>%，也</w:t>
      </w:r>
      <w:r>
        <w:rPr>
          <w:rFonts w:hint="eastAsia" w:ascii="宋体" w:hAnsi="宋体"/>
          <w:b w:val="0"/>
          <w:bCs/>
          <w:color w:val="auto"/>
          <w:u w:val="none"/>
          <w:lang w:val="en-US" w:eastAsia="zh-CN"/>
        </w:rPr>
        <w:t>不得</w:t>
      </w:r>
      <w:r>
        <w:rPr>
          <w:rFonts w:ascii="宋体" w:hAnsi="宋体"/>
          <w:b w:val="0"/>
          <w:bCs/>
          <w:color w:val="auto"/>
          <w:u w:val="none"/>
        </w:rPr>
        <w:t>为负数，且是固定唯一值的，否则为无效报价</w:t>
      </w:r>
      <w:r>
        <w:rPr>
          <w:rFonts w:hint="eastAsia" w:ascii="宋体" w:hAnsi="宋体"/>
          <w:b w:val="0"/>
          <w:bCs/>
          <w:color w:val="auto"/>
          <w:u w:val="none"/>
        </w:rPr>
        <w:t>；下浮率</w:t>
      </w:r>
      <w:r>
        <w:rPr>
          <w:rFonts w:hint="eastAsia" w:ascii="宋体" w:hAnsi="宋体"/>
          <w:b w:val="0"/>
          <w:bCs/>
          <w:color w:val="auto"/>
          <w:u w:val="none"/>
          <w:lang w:val="en-US" w:eastAsia="zh-CN"/>
        </w:rPr>
        <w:t>最</w:t>
      </w:r>
      <w:r>
        <w:rPr>
          <w:rFonts w:hint="eastAsia" w:ascii="宋体" w:hAnsi="宋体"/>
          <w:b w:val="0"/>
          <w:bCs/>
          <w:color w:val="auto"/>
          <w:u w:val="none"/>
        </w:rPr>
        <w:t>高的为成交供应商。供应商所报下浮率为成交下浮率，即：</w:t>
      </w:r>
      <w:r>
        <w:rPr>
          <w:rFonts w:hint="eastAsia" w:ascii="宋体" w:hAnsi="宋体"/>
          <w:b/>
          <w:bCs w:val="0"/>
          <w:color w:val="auto"/>
          <w:u w:val="single"/>
        </w:rPr>
        <w:t>合同物品</w:t>
      </w:r>
      <w:r>
        <w:rPr>
          <w:rFonts w:hint="eastAsia" w:ascii="宋体" w:hAnsi="宋体"/>
          <w:b/>
          <w:bCs w:val="0"/>
          <w:color w:val="auto"/>
          <w:u w:val="single"/>
          <w:lang w:val="en-US" w:eastAsia="zh-CN"/>
        </w:rPr>
        <w:t>成交</w:t>
      </w:r>
      <w:r>
        <w:rPr>
          <w:rFonts w:hint="eastAsia" w:ascii="宋体" w:hAnsi="宋体"/>
          <w:b/>
          <w:bCs w:val="0"/>
          <w:color w:val="auto"/>
          <w:u w:val="single"/>
        </w:rPr>
        <w:t>单价</w:t>
      </w:r>
      <w:r>
        <w:rPr>
          <w:rFonts w:hint="eastAsia" w:ascii="宋体" w:hAnsi="宋体"/>
          <w:b/>
          <w:bCs w:val="0"/>
          <w:color w:val="auto"/>
          <w:u w:val="single"/>
          <w:lang w:val="en-US" w:eastAsia="zh-CN"/>
        </w:rPr>
        <w:t>=单价</w:t>
      </w:r>
      <w:r>
        <w:rPr>
          <w:rFonts w:hint="eastAsia" w:ascii="宋体" w:hAnsi="宋体"/>
          <w:b/>
          <w:bCs w:val="0"/>
          <w:color w:val="auto"/>
          <w:u w:val="single"/>
        </w:rPr>
        <w:t>最高</w:t>
      </w:r>
      <w:r>
        <w:rPr>
          <w:rFonts w:ascii="宋体" w:hAnsi="宋体"/>
          <w:b/>
          <w:bCs w:val="0"/>
          <w:color w:val="auto"/>
          <w:u w:val="single"/>
        </w:rPr>
        <w:t>限价*</w:t>
      </w:r>
      <w:r>
        <w:rPr>
          <w:rFonts w:hint="eastAsia" w:ascii="宋体" w:hAnsi="宋体"/>
          <w:b/>
          <w:bCs w:val="0"/>
          <w:color w:val="auto"/>
          <w:u w:val="single"/>
        </w:rPr>
        <w:t>（1</w:t>
      </w:r>
      <w:r>
        <w:rPr>
          <w:rFonts w:hint="eastAsia" w:ascii="宋体" w:hAnsi="宋体"/>
          <w:b/>
          <w:bCs w:val="0"/>
          <w:color w:val="auto"/>
          <w:u w:val="single"/>
          <w:lang w:val="en-US" w:eastAsia="zh-CN"/>
        </w:rPr>
        <w:t>-单价</w:t>
      </w:r>
      <w:r>
        <w:rPr>
          <w:rFonts w:ascii="宋体" w:hAnsi="宋体"/>
          <w:b/>
          <w:bCs w:val="0"/>
          <w:color w:val="auto"/>
          <w:u w:val="single"/>
        </w:rPr>
        <w:t>下浮率</w:t>
      </w:r>
      <w:r>
        <w:rPr>
          <w:rFonts w:hint="eastAsia" w:ascii="宋体" w:hAnsi="宋体"/>
          <w:b/>
          <w:bCs w:val="0"/>
          <w:color w:val="auto"/>
          <w:u w:val="single"/>
        </w:rPr>
        <w:t>）</w:t>
      </w:r>
      <w:r>
        <w:rPr>
          <w:rFonts w:ascii="宋体" w:hAnsi="宋体"/>
          <w:b w:val="0"/>
          <w:bCs/>
          <w:color w:val="auto"/>
          <w:u w:val="none"/>
        </w:rPr>
        <w:t>；</w:t>
      </w:r>
      <w:r>
        <w:rPr>
          <w:rFonts w:hint="eastAsia" w:asciiTheme="minorEastAsia" w:hAnsiTheme="minorEastAsia" w:eastAsiaTheme="minorEastAsia"/>
          <w:b w:val="0"/>
          <w:bCs/>
          <w:color w:val="auto"/>
          <w:sz w:val="21"/>
          <w:szCs w:val="21"/>
          <w:highlight w:val="none"/>
          <w:u w:val="none"/>
        </w:rPr>
        <w:t>下浮后</w:t>
      </w:r>
      <w:r>
        <w:rPr>
          <w:rFonts w:hint="eastAsia" w:asciiTheme="minorEastAsia" w:hAnsiTheme="minorEastAsia"/>
          <w:b w:val="0"/>
          <w:bCs/>
          <w:color w:val="auto"/>
          <w:sz w:val="21"/>
          <w:szCs w:val="21"/>
          <w:highlight w:val="none"/>
          <w:u w:val="none"/>
          <w:lang w:val="en-US" w:eastAsia="zh-CN"/>
        </w:rPr>
        <w:t>成交</w:t>
      </w:r>
      <w:r>
        <w:rPr>
          <w:rFonts w:hint="eastAsia" w:asciiTheme="minorEastAsia" w:hAnsiTheme="minorEastAsia" w:eastAsiaTheme="minorEastAsia"/>
          <w:b w:val="0"/>
          <w:bCs/>
          <w:color w:val="auto"/>
          <w:sz w:val="21"/>
          <w:szCs w:val="21"/>
          <w:highlight w:val="none"/>
          <w:u w:val="none"/>
        </w:rPr>
        <w:t>单价保留</w:t>
      </w:r>
      <w:r>
        <w:rPr>
          <w:rFonts w:hint="eastAsia" w:asciiTheme="minorEastAsia" w:hAnsiTheme="minorEastAsia"/>
          <w:b w:val="0"/>
          <w:bCs/>
          <w:color w:val="auto"/>
          <w:sz w:val="21"/>
          <w:szCs w:val="21"/>
          <w:highlight w:val="none"/>
          <w:u w:val="none"/>
          <w:lang w:val="en-US" w:eastAsia="zh-CN"/>
        </w:rPr>
        <w:t>两</w:t>
      </w:r>
      <w:r>
        <w:rPr>
          <w:rFonts w:hint="eastAsia" w:asciiTheme="minorEastAsia" w:hAnsiTheme="minorEastAsia" w:eastAsiaTheme="minorEastAsia"/>
          <w:b w:val="0"/>
          <w:bCs/>
          <w:color w:val="auto"/>
          <w:sz w:val="21"/>
          <w:szCs w:val="21"/>
          <w:highlight w:val="none"/>
          <w:u w:val="none"/>
        </w:rPr>
        <w:t>位小数点（四舍五入）；</w:t>
      </w:r>
      <w:r>
        <w:rPr>
          <w:rFonts w:ascii="宋体" w:hAnsi="宋体"/>
          <w:b w:val="0"/>
          <w:bCs/>
          <w:color w:val="auto"/>
          <w:u w:val="none"/>
        </w:rPr>
        <w:t>在本项目合同服务履行期间，该下浮率不作另行调整；</w:t>
      </w:r>
    </w:p>
    <w:p>
      <w:pPr>
        <w:pStyle w:val="13"/>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u w:val="none"/>
          <w:lang w:val="en-US" w:eastAsia="zh-CN"/>
        </w:rPr>
        <w:t>4</w:t>
      </w:r>
      <w:r>
        <w:rPr>
          <w:rFonts w:hint="eastAsia" w:asciiTheme="minorEastAsia" w:hAnsiTheme="minorEastAsia" w:eastAsiaTheme="minorEastAsia" w:cstheme="minorEastAsia"/>
          <w:b w:val="0"/>
          <w:bCs/>
          <w:color w:val="auto"/>
          <w:sz w:val="21"/>
          <w:szCs w:val="21"/>
          <w:u w:val="none"/>
          <w:lang w:val="en-US" w:eastAsia="zh-CN"/>
        </w:rPr>
        <w:t>.</w:t>
      </w:r>
      <w:r>
        <w:rPr>
          <w:rFonts w:hint="eastAsia" w:asciiTheme="minorEastAsia" w:hAnsiTheme="minorEastAsia" w:eastAsiaTheme="minorEastAsia" w:cstheme="minorEastAsia"/>
          <w:b w:val="0"/>
          <w:bCs/>
          <w:color w:val="auto"/>
          <w:sz w:val="21"/>
          <w:szCs w:val="21"/>
        </w:rPr>
        <w:t>本项目不接受有选择性的报价，只允许报一个下浮率，所报的下浮率适用</w:t>
      </w:r>
      <w:r>
        <w:rPr>
          <w:rFonts w:hint="eastAsia" w:asciiTheme="minorEastAsia" w:hAnsiTheme="minorEastAsia" w:cstheme="minorEastAsia"/>
          <w:b w:val="0"/>
          <w:bCs/>
          <w:color w:val="auto"/>
          <w:sz w:val="21"/>
          <w:szCs w:val="21"/>
          <w:lang w:val="en-US" w:eastAsia="zh-CN"/>
        </w:rPr>
        <w:t>采购清单</w:t>
      </w:r>
      <w:r>
        <w:rPr>
          <w:rFonts w:hint="eastAsia" w:asciiTheme="minorEastAsia" w:hAnsiTheme="minorEastAsia" w:eastAsiaTheme="minorEastAsia" w:cstheme="minorEastAsia"/>
          <w:b w:val="0"/>
          <w:bCs/>
          <w:color w:val="auto"/>
          <w:sz w:val="21"/>
          <w:szCs w:val="21"/>
        </w:rPr>
        <w:t>所有</w:t>
      </w:r>
      <w:r>
        <w:rPr>
          <w:rFonts w:hint="eastAsia" w:asciiTheme="minorEastAsia" w:hAnsiTheme="minorEastAsia" w:cstheme="minorEastAsia"/>
          <w:b w:val="0"/>
          <w:bCs/>
          <w:color w:val="auto"/>
          <w:sz w:val="21"/>
          <w:szCs w:val="21"/>
          <w:lang w:val="en-US" w:eastAsia="zh-CN"/>
        </w:rPr>
        <w:t>商品</w:t>
      </w:r>
      <w:r>
        <w:rPr>
          <w:rFonts w:hint="eastAsia" w:asciiTheme="minorEastAsia" w:hAnsiTheme="minorEastAsia" w:eastAsiaTheme="minorEastAsia" w:cstheme="minorEastAsia"/>
          <w:b w:val="0"/>
          <w:bCs/>
          <w:color w:val="auto"/>
          <w:sz w:val="21"/>
          <w:szCs w:val="21"/>
          <w:lang w:eastAsia="zh-CN"/>
        </w:rPr>
        <w:t>。</w:t>
      </w:r>
    </w:p>
    <w:p>
      <w:pPr>
        <w:pStyle w:val="13"/>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p>
    <w:p>
      <w:pPr>
        <w:pStyle w:val="18"/>
        <w:rPr>
          <w:rFonts w:hint="eastAsia"/>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6460"/>
    <w:multiLevelType w:val="singleLevel"/>
    <w:tmpl w:val="11336460"/>
    <w:lvl w:ilvl="0" w:tentative="0">
      <w:start w:val="1"/>
      <w:numFmt w:val="chineseCounting"/>
      <w:suff w:val="space"/>
      <w:lvlText w:val="第%1章"/>
      <w:lvlJc w:val="left"/>
      <w:rPr>
        <w:rFonts w:hint="eastAsia"/>
      </w:rPr>
    </w:lvl>
  </w:abstractNum>
  <w:abstractNum w:abstractNumId="1">
    <w:nsid w:val="36A5433C"/>
    <w:multiLevelType w:val="singleLevel"/>
    <w:tmpl w:val="36A5433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CB5EF6"/>
    <w:rsid w:val="00E21113"/>
    <w:rsid w:val="00EE48ED"/>
    <w:rsid w:val="0155715C"/>
    <w:rsid w:val="01C728D0"/>
    <w:rsid w:val="02C06004"/>
    <w:rsid w:val="03356B49"/>
    <w:rsid w:val="04C27B6C"/>
    <w:rsid w:val="05601E08"/>
    <w:rsid w:val="059000B3"/>
    <w:rsid w:val="07A40D36"/>
    <w:rsid w:val="084E3E36"/>
    <w:rsid w:val="08F6786C"/>
    <w:rsid w:val="09C22DF1"/>
    <w:rsid w:val="0B3C2B55"/>
    <w:rsid w:val="0BC5664A"/>
    <w:rsid w:val="0BDA4A8E"/>
    <w:rsid w:val="0C373B85"/>
    <w:rsid w:val="0CAD59F1"/>
    <w:rsid w:val="0D226E45"/>
    <w:rsid w:val="0D934A87"/>
    <w:rsid w:val="0F1B3E67"/>
    <w:rsid w:val="10662DEA"/>
    <w:rsid w:val="10745D84"/>
    <w:rsid w:val="11B25927"/>
    <w:rsid w:val="123D6A4D"/>
    <w:rsid w:val="1274634C"/>
    <w:rsid w:val="1397165D"/>
    <w:rsid w:val="14F77FDF"/>
    <w:rsid w:val="16737FD7"/>
    <w:rsid w:val="16F50701"/>
    <w:rsid w:val="186D7D0F"/>
    <w:rsid w:val="19C1544E"/>
    <w:rsid w:val="19DA1D52"/>
    <w:rsid w:val="1B34727B"/>
    <w:rsid w:val="1B8637C9"/>
    <w:rsid w:val="1BED1A6A"/>
    <w:rsid w:val="1BFA5FCE"/>
    <w:rsid w:val="1E0A1FE4"/>
    <w:rsid w:val="20947A18"/>
    <w:rsid w:val="21A03B8D"/>
    <w:rsid w:val="21A3268F"/>
    <w:rsid w:val="21C36F1F"/>
    <w:rsid w:val="21F7526F"/>
    <w:rsid w:val="255C570C"/>
    <w:rsid w:val="25E67716"/>
    <w:rsid w:val="264F26CE"/>
    <w:rsid w:val="265E0F6A"/>
    <w:rsid w:val="28A27EE1"/>
    <w:rsid w:val="29421331"/>
    <w:rsid w:val="29AE135E"/>
    <w:rsid w:val="29EE0735"/>
    <w:rsid w:val="2AA661B2"/>
    <w:rsid w:val="2C627AC8"/>
    <w:rsid w:val="2D5007B8"/>
    <w:rsid w:val="2D7B5115"/>
    <w:rsid w:val="2DBC2E0A"/>
    <w:rsid w:val="2F062F75"/>
    <w:rsid w:val="2F2F0429"/>
    <w:rsid w:val="2FB478F7"/>
    <w:rsid w:val="2FC95D81"/>
    <w:rsid w:val="303B299D"/>
    <w:rsid w:val="31006CD9"/>
    <w:rsid w:val="31041AAE"/>
    <w:rsid w:val="310606C6"/>
    <w:rsid w:val="31760054"/>
    <w:rsid w:val="318656D8"/>
    <w:rsid w:val="332D2CD8"/>
    <w:rsid w:val="33597986"/>
    <w:rsid w:val="34364FAB"/>
    <w:rsid w:val="37B54E1D"/>
    <w:rsid w:val="37B81BEC"/>
    <w:rsid w:val="38430852"/>
    <w:rsid w:val="38787AEA"/>
    <w:rsid w:val="38F92A66"/>
    <w:rsid w:val="3A8676EF"/>
    <w:rsid w:val="3ADC47D3"/>
    <w:rsid w:val="3B0E690B"/>
    <w:rsid w:val="3DC84A9A"/>
    <w:rsid w:val="3DFE6052"/>
    <w:rsid w:val="3EF24ED3"/>
    <w:rsid w:val="3FB21705"/>
    <w:rsid w:val="3FE77A82"/>
    <w:rsid w:val="4017186C"/>
    <w:rsid w:val="412B3BD0"/>
    <w:rsid w:val="41711287"/>
    <w:rsid w:val="435726A3"/>
    <w:rsid w:val="43F7549F"/>
    <w:rsid w:val="44074471"/>
    <w:rsid w:val="46024A63"/>
    <w:rsid w:val="468E2CEF"/>
    <w:rsid w:val="47007902"/>
    <w:rsid w:val="494C2B06"/>
    <w:rsid w:val="4989289F"/>
    <w:rsid w:val="4B1B2583"/>
    <w:rsid w:val="4C7B4010"/>
    <w:rsid w:val="4D4A51B9"/>
    <w:rsid w:val="4D7805B5"/>
    <w:rsid w:val="4E306D68"/>
    <w:rsid w:val="4EB20057"/>
    <w:rsid w:val="4F3E14BF"/>
    <w:rsid w:val="4FB67A4E"/>
    <w:rsid w:val="50022F29"/>
    <w:rsid w:val="50D85556"/>
    <w:rsid w:val="50F9713C"/>
    <w:rsid w:val="515E7A70"/>
    <w:rsid w:val="517B4F66"/>
    <w:rsid w:val="5209190E"/>
    <w:rsid w:val="53B264F4"/>
    <w:rsid w:val="54117BA3"/>
    <w:rsid w:val="54561298"/>
    <w:rsid w:val="54B57A63"/>
    <w:rsid w:val="55B47A73"/>
    <w:rsid w:val="569F7A39"/>
    <w:rsid w:val="577B5528"/>
    <w:rsid w:val="587B3035"/>
    <w:rsid w:val="59F138CC"/>
    <w:rsid w:val="5ACF512A"/>
    <w:rsid w:val="5B4A21F6"/>
    <w:rsid w:val="5C3C3636"/>
    <w:rsid w:val="5CA85FC8"/>
    <w:rsid w:val="5EB66D4F"/>
    <w:rsid w:val="601F6302"/>
    <w:rsid w:val="61173B32"/>
    <w:rsid w:val="619F122B"/>
    <w:rsid w:val="63257394"/>
    <w:rsid w:val="63B9340E"/>
    <w:rsid w:val="6455458D"/>
    <w:rsid w:val="65B94EC2"/>
    <w:rsid w:val="692C1847"/>
    <w:rsid w:val="698F20E1"/>
    <w:rsid w:val="69CB1013"/>
    <w:rsid w:val="6A6A3C88"/>
    <w:rsid w:val="6BC46931"/>
    <w:rsid w:val="6D0D7448"/>
    <w:rsid w:val="6E3C39C3"/>
    <w:rsid w:val="703334D2"/>
    <w:rsid w:val="70391CB1"/>
    <w:rsid w:val="710A6422"/>
    <w:rsid w:val="71AD6345"/>
    <w:rsid w:val="71BF53D6"/>
    <w:rsid w:val="71ED654D"/>
    <w:rsid w:val="720C154E"/>
    <w:rsid w:val="72150491"/>
    <w:rsid w:val="721A1E72"/>
    <w:rsid w:val="72F025FA"/>
    <w:rsid w:val="735340BF"/>
    <w:rsid w:val="73656151"/>
    <w:rsid w:val="745449E5"/>
    <w:rsid w:val="74747C07"/>
    <w:rsid w:val="74FC0165"/>
    <w:rsid w:val="762A42EA"/>
    <w:rsid w:val="77192436"/>
    <w:rsid w:val="77350F71"/>
    <w:rsid w:val="7745190F"/>
    <w:rsid w:val="77904BBB"/>
    <w:rsid w:val="77FF0EFA"/>
    <w:rsid w:val="7EC040B2"/>
    <w:rsid w:val="7F312660"/>
    <w:rsid w:val="7FAD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562"/>
        <w:tab w:val="left" w:pos="3372"/>
        <w:tab w:val="left" w:pos="3653"/>
      </w:tabs>
    </w:pPr>
    <w:rPr>
      <w:sz w:val="24"/>
    </w:r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ind w:left="420"/>
    </w:pPr>
  </w:style>
  <w:style w:type="paragraph" w:styleId="7">
    <w:name w:val="envelope return"/>
    <w:basedOn w:val="1"/>
    <w:qFormat/>
    <w:uiPriority w:val="0"/>
    <w:pPr>
      <w:autoSpaceDE/>
      <w:autoSpaceDN/>
      <w:adjustRightInd/>
      <w:snapToGrid w:val="0"/>
      <w:jc w:val="both"/>
    </w:pPr>
    <w:rPr>
      <w:rFonts w:ascii="Arial" w:hAnsi="Arial" w:cs="Arial"/>
      <w:kern w:val="2"/>
      <w:sz w:val="21"/>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qFormat/>
    <w:uiPriority w:val="0"/>
    <w:pPr>
      <w:widowControl/>
      <w:spacing w:after="120"/>
      <w:ind w:leftChars="200" w:firstLine="420" w:firstLineChars="200"/>
      <w:jc w:val="left"/>
    </w:pPr>
    <w:rPr>
      <w:rFonts w:ascii="Times New Roman" w:hAnsi="Times New Roman"/>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center"/>
    </w:pPr>
    <w:rPr>
      <w:b/>
      <w:bCs/>
      <w:caps/>
      <w:sz w:val="28"/>
      <w:szCs w:val="28"/>
    </w:rPr>
  </w:style>
  <w:style w:type="paragraph" w:styleId="13">
    <w:name w:val="Normal (Web)"/>
    <w:basedOn w:val="1"/>
    <w:qFormat/>
    <w:uiPriority w:val="0"/>
    <w:rPr>
      <w:sz w:val="24"/>
    </w:rPr>
  </w:style>
  <w:style w:type="character" w:styleId="15">
    <w:name w:val="Hyperlink"/>
    <w:qFormat/>
    <w:uiPriority w:val="99"/>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_Style 3"/>
    <w:basedOn w:val="1"/>
    <w:qFormat/>
    <w:uiPriority w:val="0"/>
    <w:pPr>
      <w:ind w:firstLine="420" w:firstLineChars="200"/>
    </w:pPr>
    <w:rPr>
      <w:sz w:val="20"/>
    </w:rPr>
  </w:style>
  <w:style w:type="paragraph" w:customStyle="1" w:styleId="19">
    <w:name w:val="List Paragraph"/>
    <w:basedOn w:val="1"/>
    <w:qFormat/>
    <w:uiPriority w:val="34"/>
    <w:pPr>
      <w:ind w:firstLine="420" w:firstLineChars="200"/>
    </w:pPr>
  </w:style>
  <w:style w:type="paragraph" w:customStyle="1" w:styleId="20">
    <w:name w:val="列出段落1"/>
    <w:basedOn w:val="1"/>
    <w:qFormat/>
    <w:uiPriority w:val="34"/>
    <w:pPr>
      <w:ind w:firstLine="420" w:firstLineChars="200"/>
    </w:pPr>
  </w:style>
  <w:style w:type="paragraph" w:customStyle="1" w:styleId="21">
    <w:name w:val="保留正文"/>
    <w:basedOn w:val="2"/>
    <w:qFormat/>
    <w:uiPriority w:val="0"/>
    <w:pPr>
      <w:keepNext/>
      <w:spacing w:after="160"/>
    </w:pPr>
    <w:rPr>
      <w:sz w:val="21"/>
    </w:rPr>
  </w:style>
  <w:style w:type="character" w:customStyle="1" w:styleId="22">
    <w:name w:val="NormalCharacter"/>
    <w:semiHidden/>
    <w:qFormat/>
    <w:uiPriority w:val="99"/>
  </w:style>
  <w:style w:type="paragraph" w:customStyle="1" w:styleId="23">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赖卫江</cp:lastModifiedBy>
  <cp:lastPrinted>2023-06-21T02:32:00Z</cp:lastPrinted>
  <dcterms:modified xsi:type="dcterms:W3CDTF">2024-07-18T06:17:13Z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