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w:t>
      </w:r>
    </w:p>
    <w:p>
      <w:pPr>
        <w:jc w:val="center"/>
        <w:rPr>
          <w:rFonts w:hint="eastAsia"/>
          <w:sz w:val="84"/>
          <w:szCs w:val="84"/>
        </w:rPr>
      </w:pPr>
    </w:p>
    <w:p>
      <w:pPr>
        <w:jc w:val="center"/>
        <w:rPr>
          <w:rFonts w:hint="eastAsia"/>
          <w:b/>
          <w:bCs/>
          <w:sz w:val="84"/>
          <w:szCs w:val="84"/>
          <w:lang w:val="en-US" w:eastAsia="zh-CN"/>
        </w:rPr>
      </w:pPr>
    </w:p>
    <w:p>
      <w:pPr>
        <w:jc w:val="center"/>
        <w:rPr>
          <w:rFonts w:hint="eastAsia"/>
          <w:sz w:val="84"/>
          <w:szCs w:val="84"/>
        </w:rPr>
      </w:pPr>
      <w:r>
        <w:rPr>
          <w:rFonts w:hint="eastAsia"/>
          <w:b/>
          <w:bCs/>
          <w:sz w:val="84"/>
          <w:szCs w:val="84"/>
          <w:lang w:val="en-US" w:eastAsia="zh-CN"/>
        </w:rPr>
        <w:t>比</w:t>
      </w:r>
      <w:r>
        <w:rPr>
          <w:rFonts w:hint="eastAsia"/>
          <w:b/>
          <w:bCs/>
          <w:sz w:val="84"/>
          <w:szCs w:val="84"/>
        </w:rPr>
        <w:t>价文件</w:t>
      </w:r>
    </w:p>
    <w:p>
      <w:pPr>
        <w:rPr>
          <w:rFonts w:hint="eastAsia"/>
          <w:sz w:val="32"/>
          <w:szCs w:val="32"/>
        </w:rPr>
      </w:pPr>
    </w:p>
    <w:p>
      <w:pPr>
        <w:rPr>
          <w:rFonts w:hint="eastAsia"/>
          <w:sz w:val="32"/>
          <w:szCs w:val="32"/>
        </w:rPr>
      </w:pPr>
    </w:p>
    <w:p>
      <w:pPr>
        <w:rPr>
          <w:rFonts w:hint="eastAsia"/>
          <w:sz w:val="32"/>
          <w:szCs w:val="32"/>
        </w:rPr>
      </w:pPr>
    </w:p>
    <w:p>
      <w:pPr>
        <w:ind w:left="0" w:leftChars="0" w:firstLine="640" w:firstLineChars="200"/>
        <w:rPr>
          <w:rFonts w:hint="default" w:eastAsiaTheme="minorEastAsia"/>
          <w:sz w:val="32"/>
          <w:szCs w:val="32"/>
          <w:u w:val="single"/>
          <w:lang w:val="en-US" w:eastAsia="zh-CN"/>
        </w:rPr>
      </w:pPr>
      <w:r>
        <w:rPr>
          <w:rFonts w:hint="eastAsia"/>
          <w:sz w:val="32"/>
          <w:szCs w:val="32"/>
          <w:lang w:val="en-US" w:eastAsia="zh-CN"/>
        </w:rPr>
        <w:t>项目编号：</w:t>
      </w:r>
      <w:r>
        <w:rPr>
          <w:rFonts w:hint="eastAsia"/>
          <w:sz w:val="32"/>
          <w:szCs w:val="32"/>
          <w:u w:val="single"/>
          <w:lang w:val="en-US" w:eastAsia="zh-CN"/>
        </w:rPr>
        <w:t xml:space="preserve">  2024045     </w:t>
      </w:r>
    </w:p>
    <w:p>
      <w:pPr>
        <w:ind w:left="0" w:leftChars="0" w:firstLine="640" w:firstLineChars="200"/>
        <w:jc w:val="both"/>
        <w:rPr>
          <w:rFonts w:hint="eastAsia" w:asciiTheme="minorEastAsia" w:hAnsiTheme="minorEastAsia" w:eastAsiaTheme="minorEastAsia" w:cstheme="minorEastAsia"/>
          <w:sz w:val="32"/>
          <w:szCs w:val="32"/>
          <w:u w:val="single"/>
          <w:lang w:val="en-US" w:eastAsia="zh-CN"/>
        </w:rPr>
      </w:pPr>
      <w:r>
        <w:rPr>
          <w:rFonts w:hint="eastAsia"/>
          <w:sz w:val="32"/>
          <w:szCs w:val="32"/>
        </w:rPr>
        <w:t>项目名称：</w:t>
      </w:r>
      <w:r>
        <w:rPr>
          <w:rFonts w:hint="eastAsia" w:asciiTheme="minorEastAsia" w:hAnsiTheme="minorEastAsia" w:eastAsiaTheme="minorEastAsia" w:cstheme="minorEastAsia"/>
          <w:sz w:val="32"/>
          <w:szCs w:val="32"/>
          <w:u w:val="single"/>
          <w:lang w:val="en-US" w:eastAsia="zh-CN"/>
        </w:rPr>
        <w:t>广东省河源监狱</w:t>
      </w:r>
      <w:r>
        <w:rPr>
          <w:rFonts w:hint="eastAsia" w:asciiTheme="minorEastAsia" w:hAnsiTheme="minorEastAsia" w:cstheme="minorEastAsia"/>
          <w:sz w:val="32"/>
          <w:szCs w:val="32"/>
          <w:u w:val="single"/>
          <w:lang w:val="en-US" w:eastAsia="zh-CN"/>
        </w:rPr>
        <w:t>日常维修配件</w:t>
      </w:r>
      <w:r>
        <w:rPr>
          <w:rFonts w:hint="eastAsia" w:asciiTheme="minorEastAsia" w:hAnsiTheme="minorEastAsia" w:eastAsiaTheme="minorEastAsia" w:cstheme="minorEastAsia"/>
          <w:sz w:val="32"/>
          <w:szCs w:val="32"/>
          <w:u w:val="single"/>
          <w:lang w:val="en-US" w:eastAsia="zh-CN"/>
        </w:rPr>
        <w:t xml:space="preserve">项目  </w:t>
      </w:r>
    </w:p>
    <w:p>
      <w:pPr>
        <w:ind w:left="0" w:leftChars="0" w:firstLine="640" w:firstLineChars="200"/>
        <w:rPr>
          <w:rFonts w:hint="default" w:eastAsiaTheme="minorEastAsia"/>
          <w:sz w:val="32"/>
          <w:szCs w:val="32"/>
          <w:lang w:val="en-US" w:eastAsia="zh-CN"/>
        </w:rPr>
      </w:pPr>
      <w:r>
        <w:rPr>
          <w:rFonts w:hint="eastAsia"/>
          <w:sz w:val="32"/>
          <w:szCs w:val="32"/>
        </w:rPr>
        <w:t>采购方式：</w:t>
      </w:r>
      <w:r>
        <w:rPr>
          <w:rFonts w:hint="eastAsia"/>
          <w:sz w:val="32"/>
          <w:szCs w:val="32"/>
          <w:u w:val="single"/>
          <w:lang w:val="en-US" w:eastAsia="zh-CN"/>
        </w:rPr>
        <w:t xml:space="preserve">   市场比价       </w:t>
      </w:r>
    </w:p>
    <w:p>
      <w:pPr>
        <w:rPr>
          <w:rFonts w:hint="default" w:eastAsiaTheme="minorEastAsia"/>
          <w:sz w:val="32"/>
          <w:szCs w:val="32"/>
          <w:lang w:val="en-US" w:eastAsia="zh-CN"/>
        </w:rPr>
      </w:pPr>
    </w:p>
    <w:p>
      <w:pPr>
        <w:rPr>
          <w:rFonts w:hint="eastAsia"/>
          <w:sz w:val="32"/>
          <w:szCs w:val="32"/>
        </w:rPr>
      </w:pPr>
    </w:p>
    <w:p>
      <w:pPr>
        <w:rPr>
          <w:rFonts w:hint="eastAsia"/>
          <w:sz w:val="32"/>
          <w:szCs w:val="32"/>
        </w:rPr>
      </w:pPr>
    </w:p>
    <w:p>
      <w:pPr>
        <w:rPr>
          <w:rFonts w:hint="eastAsia"/>
          <w:sz w:val="32"/>
          <w:szCs w:val="32"/>
        </w:rPr>
      </w:pPr>
    </w:p>
    <w:p>
      <w:pPr>
        <w:pStyle w:val="21"/>
        <w:rPr>
          <w:rFonts w:hint="eastAsia"/>
        </w:rPr>
      </w:pPr>
    </w:p>
    <w:p>
      <w:pPr>
        <w:rPr>
          <w:rFonts w:hint="eastAsia"/>
          <w:sz w:val="32"/>
          <w:szCs w:val="32"/>
        </w:rPr>
      </w:pPr>
    </w:p>
    <w:p>
      <w:pPr>
        <w:jc w:val="center"/>
        <w:rPr>
          <w:rFonts w:hint="eastAsia"/>
          <w:sz w:val="32"/>
          <w:szCs w:val="32"/>
        </w:rPr>
      </w:pPr>
      <w:r>
        <w:rPr>
          <w:rFonts w:hint="eastAsia"/>
          <w:sz w:val="32"/>
          <w:szCs w:val="32"/>
        </w:rPr>
        <w:t>广东省河源监狱</w:t>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sz w:val="32"/>
          <w:szCs w:val="32"/>
        </w:rPr>
      </w:pPr>
      <w:r>
        <w:rPr>
          <w:rFonts w:hint="eastAsia"/>
          <w:sz w:val="32"/>
          <w:szCs w:val="32"/>
          <w:lang w:val="en-US" w:eastAsia="zh-CN"/>
        </w:rPr>
        <w:t>2024</w:t>
      </w:r>
      <w:r>
        <w:rPr>
          <w:rFonts w:hint="eastAsia"/>
          <w:sz w:val="32"/>
          <w:szCs w:val="32"/>
        </w:rPr>
        <w:t>年</w:t>
      </w:r>
      <w:r>
        <w:rPr>
          <w:rFonts w:hint="eastAsia"/>
          <w:sz w:val="32"/>
          <w:szCs w:val="32"/>
          <w:lang w:val="en-US" w:eastAsia="zh-CN"/>
        </w:rPr>
        <w:t>8</w:t>
      </w:r>
      <w:r>
        <w:rPr>
          <w:rFonts w:hint="eastAsia"/>
          <w:sz w:val="32"/>
          <w:szCs w:val="32"/>
        </w:rPr>
        <w:t>月</w:t>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firstLine="643" w:firstLineChars="200"/>
        <w:textAlignment w:val="auto"/>
        <w:outlineLvl w:val="9"/>
        <w:rPr>
          <w:rFonts w:hint="eastAsia"/>
          <w:sz w:val="32"/>
          <w:szCs w:val="32"/>
        </w:rPr>
      </w:pP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sectPr>
          <w:footerReference r:id="rId3" w:type="default"/>
          <w:pgSz w:w="11906" w:h="16838"/>
          <w:pgMar w:top="1701" w:right="1587" w:bottom="1701" w:left="1531" w:header="851" w:footer="992" w:gutter="0"/>
          <w:pgNumType w:fmt="decimal" w:start="1"/>
          <w:cols w:space="0" w:num="1"/>
          <w:rtlGutter w:val="0"/>
          <w:docGrid w:type="lines" w:linePitch="312" w:charSpace="0"/>
        </w:sectPr>
      </w:pP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pPr>
      <w:r>
        <w:rPr>
          <w:rFonts w:hint="eastAsia" w:asciiTheme="minorEastAsia" w:hAnsiTheme="minorEastAsia" w:cstheme="minorEastAsia"/>
          <w:color w:val="000000" w:themeColor="text1"/>
          <w:sz w:val="32"/>
          <w:szCs w:val="32"/>
          <w:u w:val="none"/>
          <w:lang w:val="en-US" w:eastAsia="zh-CN"/>
          <w14:textFill>
            <w14:solidFill>
              <w14:schemeClr w14:val="tx1"/>
            </w14:solidFill>
          </w14:textFill>
        </w:rPr>
        <w:t>目  录</w:t>
      </w:r>
    </w:p>
    <w:p>
      <w:pPr>
        <w:rPr>
          <w:rFonts w:hint="eastAsia"/>
          <w:lang w:val="en-US" w:eastAsia="zh-CN"/>
        </w:rPr>
      </w:pP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Style w:val="18"/>
          <w:rFonts w:hint="eastAsia" w:asciiTheme="minorEastAsia" w:hAnsiTheme="minorEastAsia" w:eastAsiaTheme="minorEastAsia" w:cstheme="minorEastAsia"/>
          <w:b w:val="0"/>
          <w:bC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"_Toc515353571"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8"/>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8"/>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一</w:t>
      </w:r>
      <w:r>
        <w:rPr>
          <w:rStyle w:val="18"/>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 xml:space="preserve">篇  </w:t>
      </w:r>
      <w:r>
        <w:rPr>
          <w:rStyle w:val="18"/>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供应商须知</w:t>
      </w:r>
      <w:r>
        <w:rPr>
          <w:rStyle w:val="18"/>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1</w:t>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Style w:val="18"/>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第二篇  </w:t>
      </w:r>
      <w:r>
        <w:rPr>
          <w:rStyle w:val="18"/>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用户需求书</w:t>
      </w:r>
      <w:r>
        <w:rPr>
          <w:rStyle w:val="18"/>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4</w:t>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default"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"_Toc515353572"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8"/>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8"/>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三</w:t>
      </w:r>
      <w:r>
        <w:rPr>
          <w:rStyle w:val="18"/>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篇 报价文件格式</w:t>
      </w:r>
      <w:r>
        <w:rPr>
          <w:rStyle w:val="18"/>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15</w:t>
      </w:r>
    </w:p>
    <w:p>
      <w:pPr>
        <w:rPr>
          <w:rFonts w:hint="eastAsia"/>
        </w:rPr>
      </w:pPr>
    </w:p>
    <w:p>
      <w:pPr>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pStyle w:val="21"/>
        <w:rPr>
          <w:rFonts w:hint="eastAsia"/>
        </w:rPr>
      </w:pPr>
    </w:p>
    <w:p>
      <w:pPr>
        <w:rPr>
          <w:rFonts w:hint="eastAsia"/>
        </w:rPr>
      </w:pPr>
    </w:p>
    <w:p>
      <w:pPr>
        <w:rPr>
          <w:rFonts w:hint="eastAsia"/>
        </w:rPr>
      </w:pPr>
    </w:p>
    <w:p>
      <w:pPr>
        <w:pageBreakBefore w:val="0"/>
        <w:numPr>
          <w:ilvl w:val="0"/>
          <w:numId w:val="2"/>
        </w:numPr>
        <w:kinsoku/>
        <w:wordWrap/>
        <w:overflowPunct/>
        <w:topLinePunct w:val="0"/>
        <w:bidi w:val="0"/>
        <w:spacing w:line="340" w:lineRule="exact"/>
        <w:jc w:val="center"/>
        <w:rPr>
          <w:rFonts w:hint="eastAsia"/>
          <w:b/>
          <w:bCs/>
          <w:sz w:val="32"/>
          <w:szCs w:val="32"/>
        </w:rPr>
      </w:pPr>
      <w:r>
        <w:rPr>
          <w:rFonts w:hint="eastAsia"/>
          <w:b/>
          <w:bCs/>
          <w:sz w:val="32"/>
          <w:szCs w:val="32"/>
          <w:lang w:val="en-US" w:eastAsia="zh-CN"/>
        </w:rPr>
        <w:t>供应商</w:t>
      </w:r>
      <w:r>
        <w:rPr>
          <w:rFonts w:hint="eastAsia"/>
          <w:b/>
          <w:bCs/>
          <w:sz w:val="32"/>
          <w:szCs w:val="32"/>
        </w:rPr>
        <w:t>须知</w:t>
      </w:r>
    </w:p>
    <w:p>
      <w:pPr>
        <w:pStyle w:val="21"/>
        <w:rPr>
          <w:rFonts w:hint="eastAsia"/>
        </w:rPr>
      </w:pPr>
    </w:p>
    <w:p>
      <w:pPr>
        <w:pageBreakBefore w:val="0"/>
        <w:kinsoku/>
        <w:wordWrap/>
        <w:overflowPunct/>
        <w:topLinePunct w:val="0"/>
        <w:bidi w:val="0"/>
        <w:spacing w:line="340" w:lineRule="exact"/>
        <w:ind w:left="0" w:leftChars="0" w:firstLine="422" w:firstLineChars="200"/>
        <w:rPr>
          <w:rFonts w:hint="eastAsia"/>
          <w:b/>
          <w:bCs/>
        </w:rPr>
      </w:pPr>
      <w:r>
        <w:rPr>
          <w:rFonts w:hint="eastAsia"/>
          <w:b/>
          <w:bCs/>
        </w:rPr>
        <w:t>一、</w:t>
      </w:r>
      <w:r>
        <w:rPr>
          <w:rFonts w:hint="eastAsia"/>
          <w:b/>
          <w:bCs/>
          <w:lang w:eastAsia="zh-CN"/>
        </w:rPr>
        <w:t>比价</w:t>
      </w:r>
      <w:r>
        <w:rPr>
          <w:rFonts w:hint="eastAsia"/>
          <w:b/>
          <w:bCs/>
        </w:rPr>
        <w:t>说明</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（一）</w:t>
      </w:r>
      <w:r>
        <w:rPr>
          <w:rFonts w:hint="eastAsia"/>
        </w:rPr>
        <w:t>参与</w:t>
      </w:r>
      <w:r>
        <w:rPr>
          <w:rFonts w:hint="eastAsia"/>
          <w:lang w:eastAsia="zh-CN"/>
        </w:rPr>
        <w:t>比价</w:t>
      </w:r>
      <w:r>
        <w:rPr>
          <w:rFonts w:hint="eastAsia"/>
        </w:rPr>
        <w:t>的供应商应承担所有与准备和参加</w:t>
      </w:r>
      <w:r>
        <w:rPr>
          <w:rFonts w:hint="eastAsia"/>
          <w:lang w:eastAsia="zh-CN"/>
        </w:rPr>
        <w:t>比价</w:t>
      </w:r>
      <w:r>
        <w:rPr>
          <w:rFonts w:hint="eastAsia"/>
        </w:rPr>
        <w:t>有关的费用，不论</w:t>
      </w:r>
      <w:r>
        <w:rPr>
          <w:rFonts w:hint="eastAsia"/>
          <w:lang w:eastAsia="zh-CN"/>
        </w:rPr>
        <w:t>比价</w:t>
      </w:r>
      <w:r>
        <w:rPr>
          <w:rFonts w:hint="eastAsia"/>
        </w:rPr>
        <w:t>的结果如何，采购人无义务和责任承担这些费用；</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供应商必须按</w:t>
      </w:r>
      <w:r>
        <w:rPr>
          <w:rFonts w:hint="eastAsia"/>
          <w:lang w:eastAsia="zh-CN"/>
        </w:rPr>
        <w:t>比价</w:t>
      </w:r>
      <w:r>
        <w:rPr>
          <w:rFonts w:hint="eastAsia"/>
        </w:rPr>
        <w:t>附件的格式填写，不得增加或删除表格内容。除单价、金额或项目要求填写的内容外，不得擅自改动</w:t>
      </w:r>
      <w:r>
        <w:rPr>
          <w:rFonts w:hint="eastAsia"/>
          <w:lang w:eastAsia="zh-CN"/>
        </w:rPr>
        <w:t>比价</w:t>
      </w:r>
      <w:r>
        <w:rPr>
          <w:rFonts w:hint="eastAsia"/>
        </w:rPr>
        <w:t>附件内容，否则将有可能影响成交结果，不推荐为成交候选人；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三</w:t>
      </w:r>
      <w:r>
        <w:rPr>
          <w:rFonts w:hint="eastAsia"/>
          <w:lang w:eastAsia="zh-CN"/>
        </w:rPr>
        <w:t>）</w:t>
      </w:r>
      <w:r>
        <w:rPr>
          <w:rFonts w:hint="eastAsia"/>
        </w:rPr>
        <w:t>供应商需对用户需求书的所有条款进行整体响应，用户需求书条款若有一条负偏离或不响应，不推荐为成交候选人；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若成交供应商自身原因无法完成本项目，则采购人有权利保留追究责任；</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（五）</w:t>
      </w:r>
      <w:r>
        <w:rPr>
          <w:rFonts w:hint="eastAsia"/>
        </w:rPr>
        <w:t>成交供应商因自身原因被取消成交资格，采购人可重新启动采购或按</w:t>
      </w:r>
      <w:r>
        <w:rPr>
          <w:rFonts w:hint="eastAsia"/>
          <w:lang w:eastAsia="zh-CN"/>
        </w:rPr>
        <w:t>比价</w:t>
      </w:r>
      <w:r>
        <w:rPr>
          <w:rFonts w:hint="eastAsia"/>
        </w:rPr>
        <w:t>公告规定顺延推选符合要求的供应商作为成交人；</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（六）</w:t>
      </w:r>
      <w:r>
        <w:rPr>
          <w:rFonts w:hint="eastAsia"/>
        </w:rPr>
        <w:t>若本项目</w:t>
      </w:r>
      <w:r>
        <w:rPr>
          <w:rFonts w:hint="eastAsia"/>
          <w:lang w:eastAsia="zh-CN"/>
        </w:rPr>
        <w:t>比价</w:t>
      </w:r>
      <w:r>
        <w:rPr>
          <w:rFonts w:hint="eastAsia"/>
        </w:rPr>
        <w:t>采购失败，采购人将重新采购，届时采购人有权根据项目具体情况，决定重新采购项目的采购方式；</w:t>
      </w:r>
    </w:p>
    <w:p>
      <w:pPr>
        <w:pageBreakBefore w:val="0"/>
        <w:kinsoku/>
        <w:wordWrap/>
        <w:overflowPunct/>
        <w:topLinePunct w:val="0"/>
        <w:bidi w:val="0"/>
        <w:spacing w:line="340" w:lineRule="exact"/>
        <w:ind w:left="0" w:leftChars="0" w:firstLine="420" w:firstLineChars="200"/>
        <w:rPr>
          <w:rFonts w:hint="eastAsia" w:eastAsiaTheme="minorEastAsia"/>
          <w:lang w:eastAsia="zh-CN"/>
        </w:rPr>
      </w:pPr>
      <w:r>
        <w:rPr>
          <w:rFonts w:hint="eastAsia"/>
          <w:lang w:eastAsia="zh-CN"/>
        </w:rPr>
        <w:t>（</w:t>
      </w:r>
      <w:r>
        <w:rPr>
          <w:rFonts w:hint="eastAsia"/>
          <w:lang w:val="en-US" w:eastAsia="zh-CN"/>
        </w:rPr>
        <w:t>七</w:t>
      </w:r>
      <w:r>
        <w:rPr>
          <w:rFonts w:hint="eastAsia"/>
          <w:lang w:eastAsia="zh-CN"/>
        </w:rPr>
        <w:t>）</w:t>
      </w:r>
      <w:r>
        <w:rPr>
          <w:rFonts w:hint="eastAsia"/>
        </w:rPr>
        <w:t>成交供应商若无正当理由恶意放弃成交资格，采购人有权将拒绝其参加本项目重新组织的</w:t>
      </w:r>
      <w:r>
        <w:rPr>
          <w:rFonts w:hint="eastAsia"/>
          <w:lang w:eastAsia="zh-CN"/>
        </w:rPr>
        <w:t>比价</w:t>
      </w:r>
      <w:r>
        <w:rPr>
          <w:rFonts w:hint="eastAsia"/>
        </w:rPr>
        <w:t>采购活动</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八</w:t>
      </w:r>
      <w:r>
        <w:rPr>
          <w:rFonts w:hint="eastAsia"/>
          <w:lang w:eastAsia="zh-CN"/>
        </w:rPr>
        <w:t>）</w:t>
      </w:r>
      <w:r>
        <w:rPr>
          <w:rFonts w:hint="eastAsia"/>
        </w:rPr>
        <w:t>如采购人在审核或复核参与</w:t>
      </w:r>
      <w:r>
        <w:rPr>
          <w:rFonts w:hint="eastAsia"/>
          <w:lang w:eastAsia="zh-CN"/>
        </w:rPr>
        <w:t>比价</w:t>
      </w:r>
      <w:r>
        <w:rPr>
          <w:rFonts w:hint="eastAsia"/>
        </w:rPr>
        <w:t>的供应商所提交的</w:t>
      </w:r>
      <w:r>
        <w:rPr>
          <w:rFonts w:hint="eastAsia"/>
          <w:lang w:eastAsia="zh-CN"/>
        </w:rPr>
        <w:t>比价</w:t>
      </w:r>
      <w:r>
        <w:rPr>
          <w:rFonts w:hint="eastAsia"/>
        </w:rPr>
        <w:t>资料时，供应商须无条件配合；期间若发现存在弄虚作假或相关的失信记录或违反国家法律法规等相关的不良情形，采购人可取消其成交资格并保留追究责任的权力</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九</w:t>
      </w:r>
      <w:r>
        <w:rPr>
          <w:rFonts w:hint="eastAsia"/>
          <w:lang w:eastAsia="zh-CN"/>
        </w:rPr>
        <w:t>）</w:t>
      </w:r>
      <w:r>
        <w:rPr>
          <w:rFonts w:hint="eastAsia"/>
        </w:rPr>
        <w:t>参与</w:t>
      </w:r>
      <w:r>
        <w:rPr>
          <w:rFonts w:hint="eastAsia"/>
          <w:lang w:eastAsia="zh-CN"/>
        </w:rPr>
        <w:t>比价</w:t>
      </w:r>
      <w:r>
        <w:rPr>
          <w:rFonts w:hint="eastAsia"/>
        </w:rPr>
        <w:t>的供应商应认真阅读、并充分理解</w:t>
      </w:r>
      <w:r>
        <w:rPr>
          <w:rFonts w:hint="eastAsia"/>
          <w:lang w:eastAsia="zh-CN"/>
        </w:rPr>
        <w:t>比价</w:t>
      </w:r>
      <w:r>
        <w:rPr>
          <w:rFonts w:hint="eastAsia"/>
        </w:rPr>
        <w:t>文件的全部内容（包括所有的补充、修改内容重要事项、格式、条款、服务要求和技术规范、参数及要求等）。供应商没有按照</w:t>
      </w:r>
      <w:r>
        <w:rPr>
          <w:rFonts w:hint="eastAsia"/>
          <w:lang w:eastAsia="zh-CN"/>
        </w:rPr>
        <w:t>比价</w:t>
      </w:r>
      <w:r>
        <w:rPr>
          <w:rFonts w:hint="eastAsia"/>
        </w:rPr>
        <w:t>文件要求提交全部资料，或者参与</w:t>
      </w:r>
      <w:r>
        <w:rPr>
          <w:rFonts w:hint="eastAsia"/>
          <w:lang w:eastAsia="zh-CN"/>
        </w:rPr>
        <w:t>比价</w:t>
      </w:r>
      <w:r>
        <w:rPr>
          <w:rFonts w:hint="eastAsia"/>
        </w:rPr>
        <w:t>所上传的文件没有对</w:t>
      </w:r>
      <w:r>
        <w:rPr>
          <w:rFonts w:hint="eastAsia"/>
          <w:lang w:eastAsia="zh-CN"/>
        </w:rPr>
        <w:t>比价</w:t>
      </w:r>
      <w:r>
        <w:rPr>
          <w:rFonts w:hint="eastAsia"/>
        </w:rPr>
        <w:t>文件在各方面都作出实质性响应是供应商的风险，有可能导致其</w:t>
      </w:r>
      <w:r>
        <w:rPr>
          <w:rFonts w:hint="eastAsia"/>
          <w:lang w:eastAsia="zh-CN"/>
        </w:rPr>
        <w:t>比价</w:t>
      </w:r>
      <w:r>
        <w:rPr>
          <w:rFonts w:hint="eastAsia"/>
        </w:rPr>
        <w:t>被拒绝，或被认定为无效</w:t>
      </w:r>
      <w:r>
        <w:rPr>
          <w:rFonts w:hint="eastAsia"/>
          <w:lang w:eastAsia="zh-CN"/>
        </w:rPr>
        <w:t>比价</w:t>
      </w:r>
      <w:r>
        <w:rPr>
          <w:rFonts w:hint="eastAsia"/>
        </w:rPr>
        <w:t>；</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十</w:t>
      </w:r>
      <w:r>
        <w:rPr>
          <w:rFonts w:hint="eastAsia"/>
          <w:lang w:eastAsia="zh-CN"/>
        </w:rPr>
        <w:t>）</w:t>
      </w:r>
      <w:r>
        <w:rPr>
          <w:rFonts w:hint="eastAsia"/>
        </w:rPr>
        <w:t>采购人有权拒绝接受任何不合格的货物或服务，由此产生的费用及相关后果均由供应商自行承担</w:t>
      </w:r>
      <w:r>
        <w:rPr>
          <w:rFonts w:hint="eastAsia"/>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line="360" w:lineRule="exact"/>
        <w:ind w:left="0" w:leftChars="0" w:firstLine="420" w:firstLineChars="200"/>
        <w:textAlignment w:val="auto"/>
        <w:outlineLvl w:val="9"/>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十一</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文件的澄清</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b w:val="0"/>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对本</w:t>
      </w:r>
      <w:r>
        <w:rPr>
          <w:rFonts w:hint="eastAsia" w:asciiTheme="minorEastAsia" w:hAnsiTheme="minorEastAsia" w:eastAsiaTheme="minorEastAsia" w:cstheme="minorEastAsia"/>
          <w:b w:val="0"/>
          <w:bCs/>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文件如有疑问，请于报</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名</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截止日期前以书面形式（盖公章）交至采购</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人</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，超出上述截止时间提出的任何疑问，采购人可不予答复。</w:t>
      </w:r>
    </w:p>
    <w:p>
      <w:pPr>
        <w:pageBreakBefore w:val="0"/>
        <w:kinsoku/>
        <w:wordWrap/>
        <w:overflowPunct/>
        <w:topLinePunct w:val="0"/>
        <w:bidi w:val="0"/>
        <w:snapToGrid w:val="0"/>
        <w:spacing w:line="340" w:lineRule="exact"/>
        <w:ind w:left="11" w:leftChars="0" w:firstLine="422" w:firstLineChars="200"/>
        <w:rPr>
          <w:rFonts w:hint="eastAsia"/>
          <w:b/>
          <w:bCs/>
        </w:rPr>
      </w:pPr>
      <w:r>
        <w:rPr>
          <w:rFonts w:hint="eastAsia"/>
          <w:b/>
          <w:bCs/>
          <w:lang w:val="en-US" w:eastAsia="zh-CN"/>
        </w:rPr>
        <w:t>二、</w:t>
      </w:r>
      <w:r>
        <w:rPr>
          <w:rFonts w:hint="eastAsia"/>
          <w:b/>
          <w:bCs/>
        </w:rPr>
        <w:t>报价提交资料</w:t>
      </w:r>
    </w:p>
    <w:p>
      <w:pPr>
        <w:pStyle w:val="16"/>
        <w:keepNext w:val="0"/>
        <w:keepLines w:val="0"/>
        <w:pageBreakBefore w:val="0"/>
        <w:numPr>
          <w:ilvl w:val="0"/>
          <w:numId w:val="0"/>
        </w:numPr>
        <w:kinsoku/>
        <w:wordWrap/>
        <w:overflowPunct/>
        <w:topLinePunct w:val="0"/>
        <w:autoSpaceDE/>
        <w:autoSpaceDN/>
        <w:bidi w:val="0"/>
        <w:adjustRightInd/>
        <w:spacing w:before="0" w:beforeAutospacing="0" w:after="0" w:afterAutospacing="0" w:line="540" w:lineRule="exact"/>
        <w:ind w:left="0" w:lef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一</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供应商应根据本公告要求，完整、真实、准确地填写相应报价附件，并对</w:t>
      </w:r>
      <w:r>
        <w:rPr>
          <w:rFonts w:hint="eastAsia" w:asciiTheme="minorEastAsia" w:hAnsiTheme="minorEastAsia" w:eastAsiaTheme="minorEastAsia" w:cstheme="minorEastAsia"/>
          <w:sz w:val="21"/>
          <w:szCs w:val="21"/>
          <w:lang w:eastAsia="zh-CN"/>
        </w:rPr>
        <w:t>比价</w:t>
      </w:r>
      <w:r>
        <w:rPr>
          <w:rFonts w:hint="eastAsia" w:asciiTheme="minorEastAsia" w:hAnsiTheme="minorEastAsia" w:eastAsiaTheme="minorEastAsia" w:cstheme="minorEastAsia"/>
          <w:sz w:val="21"/>
          <w:szCs w:val="21"/>
        </w:rPr>
        <w:t>文件资料承担责任。</w:t>
      </w:r>
    </w:p>
    <w:p>
      <w:pPr>
        <w:pStyle w:val="16"/>
        <w:keepNext w:val="0"/>
        <w:keepLines w:val="0"/>
        <w:pageBreakBefore w:val="0"/>
        <w:numPr>
          <w:ilvl w:val="0"/>
          <w:numId w:val="0"/>
        </w:numPr>
        <w:kinsoku/>
        <w:wordWrap/>
        <w:overflowPunct/>
        <w:topLinePunct w:val="0"/>
        <w:autoSpaceDE/>
        <w:autoSpaceDN/>
        <w:bidi w:val="0"/>
        <w:adjustRightInd/>
        <w:spacing w:before="0" w:beforeAutospacing="0" w:after="0" w:afterAutospacing="0" w:line="540" w:lineRule="exact"/>
        <w:ind w:left="0" w:leftChars="0" w:firstLine="420" w:firstLineChars="200"/>
        <w:jc w:val="both"/>
        <w:textAlignment w:val="auto"/>
        <w:outlineLvl w:val="9"/>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cstheme="minorEastAsia"/>
          <w:b w:val="0"/>
          <w:bCs w:val="0"/>
          <w:sz w:val="21"/>
          <w:szCs w:val="21"/>
          <w:lang w:val="en-US" w:eastAsia="zh-CN"/>
        </w:rPr>
        <w:t>（二）供应商应一式一份提交报价文件</w:t>
      </w:r>
      <w:r>
        <w:rPr>
          <w:rFonts w:hint="eastAsia" w:ascii="宋体" w:hAnsi="宋体" w:cs="宋体"/>
          <w:szCs w:val="21"/>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pPr>
      <w:r>
        <w:rPr>
          <w:rFonts w:hint="eastAsia" w:asciiTheme="minorEastAsia" w:hAnsiTheme="minorEastAsia" w:cstheme="minorEastAsia"/>
          <w:b/>
          <w:bCs w:val="0"/>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t>、报价文件的递交</w:t>
      </w:r>
    </w:p>
    <w:p>
      <w:pPr>
        <w:pageBreakBefore w:val="0"/>
        <w:tabs>
          <w:tab w:val="left" w:pos="567"/>
        </w:tabs>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应将报价文件密封在一个不透明的外层封装中</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密封封装均应：</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密封封装表面应正确标明</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名称、项目名称、采购人名称、报价日期等，并注明</w:t>
      </w:r>
      <w:r>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t>报价截止</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时间之前不得开封（在封口位置的封条上标注注明），封口位置须加盖</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法人公章</w:t>
      </w:r>
      <w:r>
        <w:rPr>
          <w:rFonts w:hint="eastAsia" w:asciiTheme="minorEastAsia" w:hAnsiTheme="minorEastAsia" w:cstheme="minorEastAsia"/>
          <w:b/>
          <w:bCs w:val="0"/>
          <w:color w:val="000000" w:themeColor="text1"/>
          <w:sz w:val="21"/>
          <w:szCs w:val="21"/>
          <w:u w:val="single"/>
          <w:lang w:val="en-US" w:eastAsia="zh-CN"/>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务必于报价截止时间前，将报价文件按要求送达报价地点，详见《采购公告》</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ageBreakBefore w:val="0"/>
        <w:tabs>
          <w:tab w:val="left" w:pos="567"/>
        </w:tabs>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报价截止时间后不得修改报价文件。但属于</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小组在评审中发现的计算错误并进行核实的修改不在此列。</w:t>
      </w:r>
    </w:p>
    <w:p>
      <w:pPr>
        <w:pageBreakBefore w:val="0"/>
        <w:kinsoku/>
        <w:wordWrap/>
        <w:overflowPunct/>
        <w:topLinePunct w:val="0"/>
        <w:bidi w:val="0"/>
        <w:spacing w:line="340" w:lineRule="exact"/>
        <w:ind w:left="0" w:leftChars="0" w:firstLine="422" w:firstLineChars="200"/>
        <w:rPr>
          <w:rFonts w:hint="eastAsia"/>
          <w:b/>
          <w:bCs/>
          <w:lang w:eastAsia="zh-CN"/>
        </w:rPr>
      </w:pPr>
      <w:r>
        <w:rPr>
          <w:rFonts w:hint="eastAsia"/>
          <w:b/>
          <w:bCs/>
          <w:lang w:val="en-US" w:eastAsia="zh-CN"/>
        </w:rPr>
        <w:t>四、</w:t>
      </w:r>
      <w:r>
        <w:rPr>
          <w:rFonts w:hint="eastAsia"/>
          <w:b/>
          <w:bCs/>
        </w:rPr>
        <w:t>确定成交候选人</w:t>
      </w:r>
    </w:p>
    <w:p>
      <w:pPr>
        <w:pageBreakBefore w:val="0"/>
        <w:kinsoku/>
        <w:wordWrap/>
        <w:overflowPunct/>
        <w:topLinePunct w:val="0"/>
        <w:bidi w:val="0"/>
        <w:spacing w:line="340" w:lineRule="exact"/>
        <w:ind w:left="0" w:leftChars="0" w:firstLine="420" w:firstLineChars="200"/>
        <w:rPr>
          <w:rFonts w:hint="default" w:asciiTheme="minorEastAsia" w:hAnsiTheme="minorEastAsia" w:eastAsiaTheme="minorEastAsia" w:cstheme="minorEastAsia"/>
          <w:sz w:val="21"/>
          <w:szCs w:val="21"/>
          <w:lang w:val="en-US" w:eastAsia="zh-CN"/>
        </w:rPr>
      </w:pPr>
      <w:r>
        <w:rPr>
          <w:rFonts w:hint="eastAsia"/>
          <w:lang w:eastAsia="zh-CN"/>
        </w:rPr>
        <w:t>（</w:t>
      </w:r>
      <w:r>
        <w:rPr>
          <w:rFonts w:hint="eastAsia"/>
          <w:lang w:val="en-US" w:eastAsia="zh-CN"/>
        </w:rPr>
        <w:t>一</w:t>
      </w:r>
      <w:r>
        <w:rPr>
          <w:rFonts w:hint="eastAsia"/>
          <w:lang w:eastAsia="zh-CN"/>
        </w:rPr>
        <w:t>）</w:t>
      </w:r>
      <w:r>
        <w:rPr>
          <w:rFonts w:hint="eastAsia" w:asciiTheme="minorEastAsia" w:hAnsiTheme="minorEastAsia" w:eastAsiaTheme="minorEastAsia" w:cstheme="minorEastAsia"/>
          <w:b w:val="0"/>
          <w:bCs w:val="0"/>
          <w:sz w:val="21"/>
          <w:szCs w:val="21"/>
          <w:lang w:val="en-US" w:eastAsia="zh-CN"/>
        </w:rPr>
        <w:t>本项目成交供应商为</w:t>
      </w:r>
      <w:r>
        <w:rPr>
          <w:rFonts w:hint="eastAsia" w:asciiTheme="minorEastAsia" w:hAnsi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lang w:val="en-US" w:eastAsia="zh-CN"/>
        </w:rPr>
        <w:t>家，投标报价最</w:t>
      </w:r>
      <w:r>
        <w:rPr>
          <w:rFonts w:hint="eastAsia" w:asciiTheme="minorEastAsia" w:hAnsiTheme="minorEastAsia" w:cstheme="minorEastAsia"/>
          <w:b w:val="0"/>
          <w:bCs w:val="0"/>
          <w:sz w:val="21"/>
          <w:szCs w:val="21"/>
          <w:lang w:val="en-US" w:eastAsia="zh-CN"/>
        </w:rPr>
        <w:t>低</w:t>
      </w:r>
      <w:r>
        <w:rPr>
          <w:rFonts w:hint="eastAsia" w:asciiTheme="minorEastAsia" w:hAnsiTheme="minorEastAsia" w:eastAsiaTheme="minorEastAsia" w:cstheme="minorEastAsia"/>
          <w:b w:val="0"/>
          <w:bCs w:val="0"/>
          <w:sz w:val="21"/>
          <w:szCs w:val="21"/>
          <w:lang w:val="en-US" w:eastAsia="zh-CN"/>
        </w:rPr>
        <w:t>的</w:t>
      </w:r>
      <w:r>
        <w:rPr>
          <w:rFonts w:hint="eastAsia" w:asciiTheme="minorEastAsia" w:hAnsiTheme="minorEastAsia" w:cstheme="minorEastAsia"/>
          <w:b w:val="0"/>
          <w:bCs w:val="0"/>
          <w:sz w:val="21"/>
          <w:szCs w:val="21"/>
          <w:lang w:val="en-US" w:eastAsia="zh-CN"/>
        </w:rPr>
        <w:t>确定</w:t>
      </w:r>
      <w:r>
        <w:rPr>
          <w:rFonts w:hint="eastAsia" w:asciiTheme="minorEastAsia" w:hAnsiTheme="minorEastAsia" w:eastAsiaTheme="minorEastAsia" w:cstheme="minorEastAsia"/>
          <w:b w:val="0"/>
          <w:bCs w:val="0"/>
          <w:sz w:val="21"/>
          <w:szCs w:val="21"/>
          <w:lang w:val="en-US" w:eastAsia="zh-CN"/>
        </w:rPr>
        <w:t>为成交人</w:t>
      </w:r>
      <w:r>
        <w:rPr>
          <w:rFonts w:hint="eastAsia" w:asciiTheme="minorEastAsia" w:hAnsiTheme="minorEastAsia" w:cstheme="minorEastAsia"/>
          <w:b w:val="0"/>
          <w:bCs w:val="0"/>
          <w:sz w:val="21"/>
          <w:szCs w:val="21"/>
          <w:lang w:val="en-US" w:eastAsia="zh-CN"/>
        </w:rPr>
        <w:t>；</w:t>
      </w:r>
    </w:p>
    <w:p>
      <w:pPr>
        <w:keepNext w:val="0"/>
        <w:keepLines w:val="0"/>
        <w:pageBreakBefore w:val="0"/>
        <w:kinsoku/>
        <w:wordWrap/>
        <w:overflowPunct/>
        <w:topLinePunct w:val="0"/>
        <w:autoSpaceDE/>
        <w:autoSpaceDN/>
        <w:bidi w:val="0"/>
        <w:adjustRightInd/>
        <w:snapToGrid/>
        <w:spacing w:line="320" w:lineRule="atLeast"/>
        <w:ind w:left="0" w:leftChars="0" w:firstLine="403" w:firstLineChars="192"/>
        <w:textAlignment w:val="auto"/>
        <w:rPr>
          <w:rFonts w:hint="eastAsia" w:ascii="宋体" w:hAnsi="宋体"/>
          <w:spacing w:val="4"/>
          <w:szCs w:val="21"/>
        </w:rPr>
      </w:pPr>
      <w:r>
        <w:rPr>
          <w:rFonts w:hint="eastAsia"/>
          <w:lang w:eastAsia="zh-CN"/>
        </w:rPr>
        <w:t>（</w:t>
      </w:r>
      <w:r>
        <w:rPr>
          <w:rFonts w:hint="eastAsia"/>
          <w:lang w:val="en-US" w:eastAsia="zh-CN"/>
        </w:rPr>
        <w:t>二</w:t>
      </w:r>
      <w:r>
        <w:rPr>
          <w:rFonts w:hint="eastAsia"/>
          <w:lang w:eastAsia="zh-CN"/>
        </w:rPr>
        <w:t>）</w:t>
      </w:r>
      <w:r>
        <w:rPr>
          <w:rFonts w:hint="eastAsia" w:ascii="宋体" w:hAnsi="宋体"/>
          <w:spacing w:val="4"/>
          <w:szCs w:val="21"/>
        </w:rPr>
        <w:t>供应商</w:t>
      </w:r>
      <w:r>
        <w:rPr>
          <w:rFonts w:hint="eastAsia" w:ascii="宋体" w:hAnsi="宋体"/>
          <w:spacing w:val="4"/>
          <w:szCs w:val="21"/>
          <w:lang w:eastAsia="zh-CN"/>
        </w:rPr>
        <w:t>单价报价不得高于单价最高限价</w:t>
      </w:r>
      <w:r>
        <w:rPr>
          <w:rFonts w:hint="eastAsia" w:ascii="宋体" w:hAnsi="宋体"/>
          <w:b w:val="0"/>
          <w:bCs w:val="0"/>
          <w:spacing w:val="4"/>
          <w:szCs w:val="21"/>
        </w:rPr>
        <w:t>，</w:t>
      </w:r>
      <w:r>
        <w:rPr>
          <w:rFonts w:hint="eastAsia" w:ascii="宋体" w:hAnsi="宋体"/>
          <w:spacing w:val="4"/>
          <w:szCs w:val="21"/>
        </w:rPr>
        <w:t>否则将作无效报价处理；</w:t>
      </w:r>
    </w:p>
    <w:p>
      <w:pPr>
        <w:pageBreakBefore w:val="0"/>
        <w:widowControl/>
        <w:kinsoku/>
        <w:wordWrap/>
        <w:overflowPunct/>
        <w:topLinePunct w:val="0"/>
        <w:bidi w:val="0"/>
        <w:snapToGrid w:val="0"/>
        <w:spacing w:line="360" w:lineRule="exact"/>
        <w:ind w:firstLine="420" w:firstLineChars="200"/>
        <w:rPr>
          <w:rFonts w:hint="eastAsia" w:eastAsiaTheme="minorEastAsia"/>
          <w:lang w:val="en-US" w:eastAsia="zh-CN"/>
        </w:rPr>
      </w:pPr>
      <w:r>
        <w:rPr>
          <w:rFonts w:hint="eastAsia"/>
          <w:lang w:val="en-US" w:eastAsia="zh-CN"/>
        </w:rPr>
        <w:t>（三）报价</w:t>
      </w:r>
      <w:r>
        <w:rPr>
          <w:rFonts w:hint="eastAsia"/>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lang w:val="en-US" w:eastAsia="zh-CN"/>
        </w:rPr>
        <w:t>；</w:t>
      </w:r>
    </w:p>
    <w:p>
      <w:pPr>
        <w:pageBreakBefore w:val="0"/>
        <w:widowControl/>
        <w:kinsoku/>
        <w:wordWrap/>
        <w:overflowPunct/>
        <w:topLinePunct w:val="0"/>
        <w:bidi w:val="0"/>
        <w:snapToGrid w:val="0"/>
        <w:spacing w:line="36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rPr>
        <w:t>（</w:t>
      </w:r>
      <w:r>
        <w:rPr>
          <w:rFonts w:hint="eastAsia" w:asciiTheme="minorEastAsia" w:hAnsiTheme="minorEastAsia" w:cstheme="minorEastAsia"/>
          <w:color w:val="000000"/>
          <w:sz w:val="21"/>
          <w:szCs w:val="21"/>
          <w:lang w:val="en-US" w:eastAsia="zh-CN"/>
        </w:rPr>
        <w:t>四</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rPr>
        <w:t>报价</w:t>
      </w:r>
      <w:r>
        <w:rPr>
          <w:rFonts w:hint="eastAsia" w:asciiTheme="minorEastAsia" w:hAnsiTheme="minorEastAsia" w:cstheme="minorEastAsia"/>
          <w:sz w:val="21"/>
          <w:szCs w:val="21"/>
          <w:lang w:val="en-US" w:eastAsia="zh-CN"/>
        </w:rPr>
        <w:t>最低供应商</w:t>
      </w:r>
      <w:r>
        <w:rPr>
          <w:rFonts w:hint="eastAsia" w:asciiTheme="minorEastAsia" w:hAnsiTheme="minorEastAsia" w:eastAsiaTheme="minorEastAsia" w:cstheme="minorEastAsia"/>
          <w:sz w:val="21"/>
          <w:szCs w:val="21"/>
        </w:rPr>
        <w:t>出现</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家以上情形时，以当场摇珠形式选取本项目实施单位</w:t>
      </w:r>
      <w:r>
        <w:rPr>
          <w:rFonts w:hint="eastAsia" w:asciiTheme="minorEastAsia" w:hAnsiTheme="minorEastAsia" w:eastAsiaTheme="minorEastAsia" w:cstheme="minorEastAsia"/>
          <w:sz w:val="21"/>
          <w:szCs w:val="21"/>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五、</w:t>
      </w:r>
      <w:r>
        <w:rPr>
          <w:rFonts w:hint="eastAsia"/>
          <w:b/>
          <w:bCs/>
        </w:rPr>
        <w:t>无效报价</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eastAsia="zh-CN"/>
        </w:rPr>
        <w:t>（</w:t>
      </w:r>
      <w:r>
        <w:rPr>
          <w:rFonts w:hint="eastAsia"/>
          <w:lang w:val="en-US" w:eastAsia="zh-CN"/>
        </w:rPr>
        <w:t>一</w:t>
      </w:r>
      <w:r>
        <w:rPr>
          <w:rFonts w:hint="eastAsia"/>
          <w:lang w:eastAsia="zh-CN"/>
        </w:rPr>
        <w:t>）</w:t>
      </w:r>
      <w:r>
        <w:rPr>
          <w:rFonts w:hint="eastAsia"/>
        </w:rPr>
        <w:t>参与</w:t>
      </w:r>
      <w:r>
        <w:rPr>
          <w:rFonts w:hint="eastAsia"/>
          <w:lang w:eastAsia="zh-CN"/>
        </w:rPr>
        <w:t>比价</w:t>
      </w:r>
      <w:r>
        <w:rPr>
          <w:rFonts w:hint="eastAsia"/>
        </w:rPr>
        <w:t>的供应商报价</w:t>
      </w:r>
      <w:r>
        <w:rPr>
          <w:rFonts w:hint="eastAsia"/>
          <w:lang w:eastAsia="zh-CN"/>
        </w:rPr>
        <w:t>高</w:t>
      </w:r>
      <w:r>
        <w:rPr>
          <w:rFonts w:hint="eastAsia"/>
          <w:lang w:val="en-US" w:eastAsia="zh-CN"/>
        </w:rPr>
        <w:t>于最高限价</w:t>
      </w:r>
      <w:r>
        <w:rPr>
          <w:rFonts w:hint="eastAsia"/>
        </w:rPr>
        <w:t>的视为无效报价</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供应商须提供本项目要求的资质文件，如果不按公告规定或</w:t>
      </w:r>
      <w:r>
        <w:rPr>
          <w:rFonts w:hint="eastAsia"/>
          <w:lang w:eastAsia="zh-CN"/>
        </w:rPr>
        <w:t>比价</w:t>
      </w:r>
      <w:r>
        <w:rPr>
          <w:rFonts w:hint="eastAsia"/>
        </w:rPr>
        <w:t>文件要求等相关规定提供符合要求的资质文件，将被视为无效报价；</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三</w:t>
      </w:r>
      <w:r>
        <w:rPr>
          <w:rFonts w:hint="eastAsia"/>
          <w:lang w:eastAsia="zh-CN"/>
        </w:rPr>
        <w:t>）</w:t>
      </w:r>
      <w:r>
        <w:rPr>
          <w:rFonts w:hint="eastAsia"/>
        </w:rPr>
        <w:t>供应商须对本项目采购内容进行整体报价，任何只对其中一部分内容进行的报价都被视为无效报价</w:t>
      </w:r>
      <w:r>
        <w:rPr>
          <w:rFonts w:hint="eastAsia"/>
          <w:lang w:val="en-US" w:eastAsia="zh-CN"/>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报价表以及有报价供应商落款的报价文件必须加盖报价供应商公章，否则视为无效报价；</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lang w:eastAsia="zh-CN"/>
        </w:rPr>
        <w:t>（</w:t>
      </w:r>
      <w:r>
        <w:rPr>
          <w:rFonts w:hint="eastAsia"/>
          <w:lang w:val="en-US" w:eastAsia="zh-CN"/>
        </w:rPr>
        <w:t>五</w:t>
      </w:r>
      <w:r>
        <w:rPr>
          <w:rFonts w:hint="eastAsia"/>
          <w:lang w:eastAsia="zh-CN"/>
        </w:rPr>
        <w:t>）</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比价文件中，如标有“★”的条款均为必须完全满足指标，</w:t>
      </w:r>
      <w:r>
        <w:rPr>
          <w:rFonts w:hint="eastAsia" w:asciiTheme="minorEastAsia" w:hAnsiTheme="minorEastAsia" w:cstheme="minorEastAsia"/>
          <w:color w:val="000000" w:themeColor="text1"/>
          <w:sz w:val="21"/>
          <w:szCs w:val="21"/>
          <w:lang w:val="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须进行实质性响应；</w:t>
      </w:r>
      <w:r>
        <w:rPr>
          <w:rFonts w:hint="eastAsia" w:asciiTheme="minorEastAsia" w:hAnsiTheme="minorEastAsia" w:cstheme="minorEastAsia"/>
          <w:color w:val="000000" w:themeColor="text1"/>
          <w:sz w:val="21"/>
          <w:szCs w:val="21"/>
          <w:lang w:val="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若有一项带“★”的条款未响应或不满足，将按无效报价处理</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六</w:t>
      </w:r>
      <w:r>
        <w:rPr>
          <w:rFonts w:hint="eastAsia"/>
          <w:lang w:eastAsia="zh-CN"/>
        </w:rPr>
        <w:t>）</w:t>
      </w:r>
      <w:r>
        <w:rPr>
          <w:rFonts w:hint="eastAsia"/>
        </w:rPr>
        <w:t>按有关法律、法规、规章属于报价无效的。</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七</w:t>
      </w:r>
      <w:r>
        <w:rPr>
          <w:rFonts w:hint="eastAsia"/>
          <w:lang w:eastAsia="zh-CN"/>
        </w:rPr>
        <w:t>）</w:t>
      </w:r>
      <w:r>
        <w:rPr>
          <w:rFonts w:hint="eastAsia"/>
        </w:rPr>
        <w:t>有下列情形之一的，视为串通</w:t>
      </w:r>
      <w:r>
        <w:rPr>
          <w:rFonts w:hint="eastAsia"/>
          <w:lang w:eastAsia="zh-CN"/>
        </w:rPr>
        <w:t>比价</w:t>
      </w:r>
      <w:r>
        <w:rPr>
          <w:rFonts w:hint="eastAsia"/>
        </w:rPr>
        <w:t>，其报价无效：</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1.</w:t>
      </w:r>
      <w:r>
        <w:rPr>
          <w:rFonts w:hint="eastAsia"/>
        </w:rPr>
        <w:t>存在单位负责人为同一人或存在控股、管理关系的不同单位参与同一</w:t>
      </w:r>
      <w:r>
        <w:rPr>
          <w:rFonts w:hint="eastAsia"/>
          <w:lang w:eastAsia="zh-CN"/>
        </w:rPr>
        <w:t>比价</w:t>
      </w:r>
      <w:r>
        <w:rPr>
          <w:rFonts w:hint="eastAsia"/>
        </w:rPr>
        <w:t>项目；</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2.</w:t>
      </w:r>
      <w:r>
        <w:rPr>
          <w:rFonts w:hint="eastAsia"/>
        </w:rPr>
        <w:t>不同供应商的响应文件由同一单位或者个人编制；</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3.</w:t>
      </w:r>
      <w:r>
        <w:rPr>
          <w:rFonts w:hint="eastAsia"/>
        </w:rPr>
        <w:t>不同供应商委托同一单位或者个人办理</w:t>
      </w:r>
      <w:r>
        <w:rPr>
          <w:rFonts w:hint="eastAsia"/>
          <w:lang w:eastAsia="zh-CN"/>
        </w:rPr>
        <w:t>比价</w:t>
      </w:r>
      <w:r>
        <w:rPr>
          <w:rFonts w:hint="eastAsia"/>
        </w:rPr>
        <w:t>事宜；</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4.</w:t>
      </w:r>
      <w:r>
        <w:rPr>
          <w:rFonts w:hint="eastAsia"/>
        </w:rPr>
        <w:t>不同供应商的响应文件载明的项目管理成员或者联系人员为同一人；</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5.</w:t>
      </w:r>
      <w:r>
        <w:rPr>
          <w:rFonts w:hint="eastAsia"/>
        </w:rPr>
        <w:t>不同供应商的响应文件异常一致或者报价呈规律性差异；</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val="en-US" w:eastAsia="zh-CN"/>
        </w:rPr>
        <w:t>6.</w:t>
      </w:r>
      <w:r>
        <w:rPr>
          <w:rFonts w:hint="eastAsia"/>
        </w:rPr>
        <w:t>不同供应商的响应文件相互混淆</w:t>
      </w:r>
      <w:r>
        <w:rPr>
          <w:rFonts w:hint="eastAsia"/>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六、</w:t>
      </w:r>
      <w:r>
        <w:rPr>
          <w:rFonts w:hint="eastAsia"/>
          <w:b/>
          <w:bCs/>
          <w:lang w:eastAsia="zh-CN"/>
        </w:rPr>
        <w:t>比价</w:t>
      </w:r>
      <w:r>
        <w:rPr>
          <w:rFonts w:hint="eastAsia"/>
          <w:b/>
          <w:bCs/>
        </w:rPr>
        <w:t>活动失败</w:t>
      </w:r>
    </w:p>
    <w:p>
      <w:pPr>
        <w:pageBreakBefore w:val="0"/>
        <w:kinsoku/>
        <w:wordWrap/>
        <w:overflowPunct/>
        <w:topLinePunct w:val="0"/>
        <w:bidi w:val="0"/>
        <w:spacing w:line="340" w:lineRule="exact"/>
        <w:ind w:left="0" w:leftChars="0" w:firstLine="420" w:firstLineChars="200"/>
        <w:rPr>
          <w:rFonts w:hint="default"/>
          <w:lang w:val="en-US" w:eastAsia="zh-CN"/>
        </w:rPr>
      </w:pPr>
      <w:r>
        <w:rPr>
          <w:rFonts w:hint="eastAsia"/>
          <w:lang w:eastAsia="zh-CN"/>
        </w:rPr>
        <w:t>（</w:t>
      </w:r>
      <w:r>
        <w:rPr>
          <w:rFonts w:hint="eastAsia"/>
          <w:lang w:val="en-US" w:eastAsia="zh-CN"/>
        </w:rPr>
        <w:t>一</w:t>
      </w:r>
      <w:r>
        <w:rPr>
          <w:rFonts w:hint="eastAsia"/>
          <w:lang w:eastAsia="zh-CN"/>
        </w:rPr>
        <w:t>）</w:t>
      </w:r>
      <w:r>
        <w:rPr>
          <w:rFonts w:hint="eastAsia"/>
          <w:lang w:val="en-US" w:eastAsia="zh-CN"/>
        </w:rPr>
        <w:t>有效报价供应商少于3家的；</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出现影响采购公正的违法、违规行为的；</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三</w:t>
      </w:r>
      <w:r>
        <w:rPr>
          <w:rFonts w:hint="eastAsia"/>
          <w:lang w:eastAsia="zh-CN"/>
        </w:rPr>
        <w:t>）</w:t>
      </w:r>
      <w:r>
        <w:rPr>
          <w:rFonts w:hint="eastAsia"/>
        </w:rPr>
        <w:t>因重大变故，采购任务取消的</w:t>
      </w:r>
      <w:r>
        <w:rPr>
          <w:rFonts w:hint="eastAsia"/>
          <w:lang w:eastAsia="zh-CN"/>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cstheme="minorEastAsia"/>
          <w:b/>
          <w:color w:val="000000" w:themeColor="text1"/>
          <w:sz w:val="21"/>
          <w:szCs w:val="21"/>
          <w:lang w:val="en-US" w:eastAsia="zh-CN"/>
          <w14:textFill>
            <w14:solidFill>
              <w14:schemeClr w14:val="tx1"/>
            </w14:solidFill>
          </w14:textFill>
        </w:rPr>
        <w:t>七</w:t>
      </w:r>
      <w:r>
        <w:rPr>
          <w:rFonts w:hint="eastAsia" w:asciiTheme="minorEastAsia" w:hAnsiTheme="minorEastAsia" w:eastAsiaTheme="minorEastAsia" w:cstheme="minorEastAsia"/>
          <w:b/>
          <w:color w:val="000000" w:themeColor="text1"/>
          <w:sz w:val="21"/>
          <w:szCs w:val="21"/>
          <w14:textFill>
            <w14:solidFill>
              <w14:schemeClr w14:val="tx1"/>
            </w14:solidFill>
          </w14:textFill>
        </w:rPr>
        <w:t>、授予合同</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14:textFill>
            <w14:solidFill>
              <w14:schemeClr w14:val="tx1"/>
            </w14:solidFill>
          </w14:textFill>
        </w:rPr>
        <w:t>从</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小组推荐的成交候选人中，采购人依法确定成交人。</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本</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文件、成交人的报价文件及相关澄清材料，均作为合同订立的依据。对报价文件及澄清文件中出现歧义、不确定的内容等解释均以采购人的理解确认为准。</w:t>
      </w:r>
    </w:p>
    <w:p>
      <w:pPr>
        <w:pStyle w:val="21"/>
        <w:pageBreakBefore w:val="0"/>
        <w:kinsoku/>
        <w:wordWrap/>
        <w:overflowPunct/>
        <w:topLinePunct w:val="0"/>
        <w:bidi w:val="0"/>
        <w:spacing w:line="340" w:lineRule="exact"/>
        <w:rPr>
          <w:rFonts w:hint="eastAsia"/>
          <w:lang w:eastAsia="zh-CN"/>
        </w:rPr>
      </w:pPr>
    </w:p>
    <w:p>
      <w:pPr>
        <w:pStyle w:val="21"/>
        <w:pageBreakBefore w:val="0"/>
        <w:kinsoku/>
        <w:wordWrap/>
        <w:overflowPunct/>
        <w:topLinePunct w:val="0"/>
        <w:bidi w:val="0"/>
        <w:spacing w:line="340" w:lineRule="exact"/>
        <w:rPr>
          <w:rFonts w:hint="eastAsia"/>
          <w:lang w:eastAsia="zh-CN"/>
        </w:rPr>
      </w:pPr>
    </w:p>
    <w:p>
      <w:pPr>
        <w:pStyle w:val="21"/>
        <w:pageBreakBefore w:val="0"/>
        <w:kinsoku/>
        <w:wordWrap/>
        <w:overflowPunct/>
        <w:topLinePunct w:val="0"/>
        <w:bidi w:val="0"/>
        <w:spacing w:line="340" w:lineRule="exact"/>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b/>
          <w:bCs/>
          <w:sz w:val="32"/>
          <w:szCs w:val="32"/>
        </w:rPr>
      </w:pPr>
      <w:r>
        <w:rPr>
          <w:rFonts w:hint="eastAsia"/>
          <w:b/>
          <w:bCs/>
          <w:sz w:val="32"/>
          <w:szCs w:val="32"/>
          <w:lang w:val="en-US" w:eastAsia="zh-CN"/>
        </w:rPr>
        <w:t xml:space="preserve">第二章 </w:t>
      </w:r>
      <w:r>
        <w:rPr>
          <w:rFonts w:hint="eastAsia"/>
          <w:b/>
          <w:bCs/>
          <w:sz w:val="32"/>
          <w:szCs w:val="32"/>
        </w:rPr>
        <w:t>用户需求书</w:t>
      </w:r>
    </w:p>
    <w:p>
      <w:pPr>
        <w:keepNext w:val="0"/>
        <w:keepLines w:val="0"/>
        <w:pageBreakBefore w:val="0"/>
        <w:widowControl w:val="0"/>
        <w:kinsoku/>
        <w:wordWrap/>
        <w:overflowPunct/>
        <w:topLinePunct w:val="0"/>
        <w:autoSpaceDE/>
        <w:autoSpaceDN/>
        <w:bidi w:val="0"/>
        <w:adjustRightInd/>
        <w:snapToGrid/>
        <w:spacing w:line="340" w:lineRule="exact"/>
        <w:ind w:firstLine="422" w:firstLineChars="200"/>
        <w:jc w:val="both"/>
        <w:textAlignment w:val="auto"/>
        <w:outlineLvl w:val="9"/>
        <w:rPr>
          <w:rFonts w:hint="eastAsia" w:asciiTheme="minorEastAsia" w:hAnsiTheme="minorEastAsia" w:eastAsiaTheme="minorEastAsia" w:cstheme="minorEastAsia"/>
          <w:b/>
          <w:bCs/>
          <w:sz w:val="21"/>
          <w:szCs w:val="21"/>
        </w:rPr>
      </w:pPr>
    </w:p>
    <w:p>
      <w:pPr>
        <w:pageBreakBefore w:val="0"/>
        <w:numPr>
          <w:ilvl w:val="0"/>
          <w:numId w:val="3"/>
        </w:numPr>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项目概况</w:t>
      </w:r>
    </w:p>
    <w:p>
      <w:pPr>
        <w:pageBreakBefore w:val="0"/>
        <w:numPr>
          <w:ilvl w:val="0"/>
          <w:numId w:val="0"/>
        </w:numPr>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采购人根据工作需要，拟采购2024年9月至2025年8月日常维修配件</w:t>
      </w:r>
      <w:r>
        <w:rPr>
          <w:rFonts w:hint="eastAsia"/>
          <w:lang w:eastAsia="zh-CN"/>
        </w:rPr>
        <w:t>，配件种类</w:t>
      </w:r>
      <w:r>
        <w:rPr>
          <w:rFonts w:hint="eastAsia"/>
          <w:lang w:val="en-US" w:eastAsia="zh-CN"/>
        </w:rPr>
        <w:t>243种。</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二、预算金额：</w:t>
      </w:r>
      <w:r>
        <w:rPr>
          <w:rFonts w:hint="eastAsia"/>
          <w:lang w:val="en-US" w:eastAsia="zh-CN"/>
        </w:rPr>
        <w:t>人民币295000元</w:t>
      </w:r>
      <w:r>
        <w:rPr>
          <w:rFonts w:hint="eastAsia"/>
          <w:lang w:eastAsia="zh-CN"/>
        </w:rPr>
        <w:t>。</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 xml:space="preserve">三、标的数量、技术规格 </w:t>
      </w:r>
    </w:p>
    <w:p>
      <w:pPr>
        <w:pageBreakBefore w:val="0"/>
        <w:kinsoku/>
        <w:wordWrap/>
        <w:overflowPunct/>
        <w:topLinePunct w:val="0"/>
        <w:bidi w:val="0"/>
        <w:spacing w:line="340" w:lineRule="exact"/>
        <w:ind w:left="0" w:leftChars="0" w:firstLine="420" w:firstLineChars="200"/>
        <w:rPr>
          <w:rFonts w:hint="default"/>
          <w:lang w:val="en-US" w:eastAsia="zh-CN"/>
        </w:rPr>
      </w:pPr>
      <w:r>
        <w:rPr>
          <w:rStyle w:val="17"/>
          <w:rFonts w:hint="eastAsia" w:asciiTheme="minorEastAsia" w:hAnsiTheme="minorEastAsia" w:eastAsiaTheme="minorEastAsia" w:cstheme="minorEastAsia"/>
          <w:sz w:val="21"/>
          <w:szCs w:val="21"/>
          <w:lang w:eastAsia="zh-CN"/>
        </w:rPr>
        <w:t>以实际采购数量为准</w:t>
      </w:r>
      <w:r>
        <w:rPr>
          <w:rFonts w:hint="eastAsia"/>
          <w:lang w:val="en-US" w:eastAsia="zh-CN"/>
        </w:rPr>
        <w:t>。详见附件：《广东省河源监狱日常维修配件采购清单》</w:t>
      </w:r>
    </w:p>
    <w:p>
      <w:pPr>
        <w:pageBreakBefore w:val="0"/>
        <w:kinsoku/>
        <w:wordWrap/>
        <w:overflowPunct/>
        <w:topLinePunct w:val="0"/>
        <w:bidi w:val="0"/>
        <w:spacing w:line="340" w:lineRule="exact"/>
        <w:ind w:left="0" w:leftChars="0" w:firstLine="420" w:firstLineChars="200"/>
        <w:rPr>
          <w:rFonts w:hint="default"/>
          <w:lang w:val="en-US" w:eastAsia="zh-CN"/>
        </w:rPr>
      </w:pPr>
      <w:r>
        <w:rPr>
          <w:rFonts w:hint="eastAsia"/>
          <w:lang w:val="en-US" w:eastAsia="zh-CN"/>
        </w:rPr>
        <w:t>四、服务标准</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val="en-US" w:eastAsia="zh-CN"/>
        </w:rPr>
        <w:t>（一）本项目所涉及的货物必须为合法制造商制造的全新产品，整体无污染，表面无划损，无任何缺</w:t>
      </w:r>
      <w:r>
        <w:rPr>
          <w:rFonts w:hint="eastAsia"/>
          <w:lang w:eastAsia="zh-CN"/>
        </w:rPr>
        <w:t>陷隐患，</w:t>
      </w:r>
      <w:r>
        <w:rPr>
          <w:rFonts w:hint="eastAsia"/>
        </w:rPr>
        <w:t>必须符合国家有关部门的质量</w:t>
      </w:r>
      <w:r>
        <w:rPr>
          <w:rFonts w:hint="eastAsia"/>
          <w:lang w:eastAsia="zh-CN"/>
        </w:rPr>
        <w:t>要求，并按厂家提供的标准执行售后服务。</w:t>
      </w:r>
    </w:p>
    <w:p>
      <w:pPr>
        <w:pageBreakBefore w:val="0"/>
        <w:kinsoku/>
        <w:wordWrap/>
        <w:overflowPunct/>
        <w:topLinePunct w:val="0"/>
        <w:bidi w:val="0"/>
        <w:spacing w:line="340" w:lineRule="exact"/>
        <w:ind w:left="0" w:leftChars="0" w:firstLine="420" w:firstLineChars="200"/>
        <w:rPr>
          <w:rFonts w:hint="default"/>
          <w:lang w:val="en-US" w:eastAsia="zh-CN"/>
        </w:rPr>
      </w:pPr>
      <w:r>
        <w:rPr>
          <w:rFonts w:hint="eastAsia"/>
          <w:lang w:val="en-US" w:eastAsia="zh-CN"/>
        </w:rPr>
        <w:t>（二）供应商</w:t>
      </w:r>
      <w:r>
        <w:rPr>
          <w:rFonts w:hint="eastAsia"/>
        </w:rPr>
        <w:t>须严格按商品的名称、品牌</w:t>
      </w:r>
      <w:r>
        <w:rPr>
          <w:rFonts w:hint="eastAsia"/>
          <w:lang w:eastAsia="zh-CN"/>
        </w:rPr>
        <w:t>、</w:t>
      </w:r>
      <w:r>
        <w:rPr>
          <w:rFonts w:hint="eastAsia"/>
        </w:rPr>
        <w:t>规格型号、中标单价供货</w:t>
      </w:r>
      <w:r>
        <w:rPr>
          <w:rFonts w:hint="eastAsia"/>
          <w:lang w:eastAsia="zh-CN"/>
        </w:rPr>
        <w:t>，</w:t>
      </w:r>
      <w:r>
        <w:rPr>
          <w:rFonts w:hint="eastAsia"/>
          <w:lang w:val="en-US" w:eastAsia="zh-CN"/>
        </w:rPr>
        <w:t>并配合到货验收。</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（三）如</w:t>
      </w:r>
      <w:r>
        <w:rPr>
          <w:rFonts w:hint="eastAsia"/>
          <w:lang w:eastAsia="zh-CN"/>
        </w:rPr>
        <w:t>供货商品的生产</w:t>
      </w:r>
      <w:r>
        <w:rPr>
          <w:rFonts w:hint="eastAsia"/>
        </w:rPr>
        <w:t>厂家停止生产</w:t>
      </w:r>
      <w:r>
        <w:rPr>
          <w:rFonts w:hint="eastAsia"/>
          <w:lang w:eastAsia="zh-CN"/>
        </w:rPr>
        <w:t>该商品的</w:t>
      </w:r>
      <w:r>
        <w:rPr>
          <w:rFonts w:hint="eastAsia"/>
        </w:rPr>
        <w:t>，</w:t>
      </w:r>
      <w:r>
        <w:rPr>
          <w:rFonts w:hint="eastAsia"/>
          <w:lang w:eastAsia="zh-CN"/>
        </w:rPr>
        <w:t>供应商</w:t>
      </w:r>
      <w:r>
        <w:rPr>
          <w:rFonts w:hint="eastAsia"/>
        </w:rPr>
        <w:t>应提前告知</w:t>
      </w:r>
      <w:r>
        <w:rPr>
          <w:rFonts w:hint="eastAsia"/>
          <w:lang w:val="en-US" w:eastAsia="zh-CN"/>
        </w:rPr>
        <w:t>采购人</w:t>
      </w:r>
      <w:r>
        <w:rPr>
          <w:rFonts w:hint="eastAsia"/>
        </w:rPr>
        <w:t>，</w:t>
      </w:r>
      <w:r>
        <w:rPr>
          <w:rFonts w:hint="eastAsia"/>
          <w:lang w:eastAsia="zh-CN"/>
        </w:rPr>
        <w:t>并提供相关证明，</w:t>
      </w:r>
      <w:r>
        <w:rPr>
          <w:rFonts w:hint="eastAsia"/>
        </w:rPr>
        <w:t>经</w:t>
      </w:r>
      <w:r>
        <w:rPr>
          <w:rFonts w:hint="eastAsia"/>
          <w:lang w:val="en-US" w:eastAsia="zh-CN"/>
        </w:rPr>
        <w:t>采购人</w:t>
      </w:r>
      <w:r>
        <w:rPr>
          <w:rFonts w:hint="eastAsia"/>
        </w:rPr>
        <w:t>同意后</w:t>
      </w:r>
      <w:r>
        <w:rPr>
          <w:rFonts w:hint="eastAsia"/>
          <w:lang w:eastAsia="zh-CN"/>
        </w:rPr>
        <w:t>方可</w:t>
      </w:r>
      <w:r>
        <w:rPr>
          <w:rFonts w:hint="eastAsia"/>
        </w:rPr>
        <w:t>更换同等品牌价格的货物。</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eastAsia="zh-CN"/>
        </w:rPr>
        <w:t>（</w:t>
      </w:r>
      <w:r>
        <w:rPr>
          <w:rFonts w:hint="eastAsia"/>
          <w:lang w:val="en-US" w:eastAsia="zh-CN"/>
        </w:rPr>
        <w:t>四</w:t>
      </w:r>
      <w:r>
        <w:rPr>
          <w:rFonts w:hint="eastAsia"/>
          <w:lang w:eastAsia="zh-CN"/>
        </w:rPr>
        <w:t>）</w:t>
      </w:r>
      <w:r>
        <w:rPr>
          <w:rFonts w:hint="eastAsia"/>
          <w:lang w:val="en-US" w:eastAsia="zh-CN"/>
        </w:rPr>
        <w:t>合同期内，采购人电话或微信等方式通知送货计划表为准，供应商收到送货计划表后，2日内将货物送达采购人指定地点，因紧急故障需要维修的配件须2小时内将货物送达采购人指定地点。货物送达后，采购人现场进行验收入库，并签名确认。</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72" w:firstLineChars="225"/>
        <w:jc w:val="both"/>
        <w:textAlignment w:val="auto"/>
        <w:outlineLvl w:val="9"/>
        <w:rPr>
          <w:rStyle w:val="17"/>
          <w:rFonts w:hint="eastAsia" w:asciiTheme="minorEastAsia" w:hAnsiTheme="minorEastAsia" w:eastAsiaTheme="minorEastAsia" w:cstheme="minorEastAsia"/>
          <w:b/>
          <w:bCs/>
          <w:sz w:val="21"/>
          <w:szCs w:val="21"/>
          <w:lang w:val="en-US" w:eastAsia="zh-CN"/>
        </w:rPr>
      </w:pPr>
      <w:r>
        <w:rPr>
          <w:rFonts w:hint="eastAsia"/>
          <w:lang w:val="en-US" w:eastAsia="zh-CN"/>
        </w:rPr>
        <w:t>五、服务（交付）期限：</w:t>
      </w:r>
      <w:r>
        <w:rPr>
          <w:rStyle w:val="17"/>
          <w:rFonts w:hint="eastAsia" w:asciiTheme="minorEastAsia" w:hAnsiTheme="minorEastAsia" w:cstheme="minorEastAsia"/>
          <w:b w:val="0"/>
          <w:bCs w:val="0"/>
          <w:sz w:val="21"/>
          <w:szCs w:val="21"/>
          <w:lang w:val="en-US" w:eastAsia="zh-CN"/>
        </w:rPr>
        <w:t>合同签订之日起</w:t>
      </w:r>
      <w:r>
        <w:rPr>
          <w:rFonts w:hint="eastAsia" w:asciiTheme="minorEastAsia" w:hAnsiTheme="minorEastAsia" w:eastAsiaTheme="minorEastAsia" w:cstheme="minorEastAsia"/>
          <w:b w:val="0"/>
          <w:bCs w:val="0"/>
          <w:sz w:val="21"/>
          <w:szCs w:val="21"/>
          <w:lang w:val="en-US" w:eastAsia="zh-CN"/>
        </w:rPr>
        <w:t>1年</w:t>
      </w:r>
      <w:r>
        <w:rPr>
          <w:rFonts w:hint="eastAsia" w:asciiTheme="minorEastAsia" w:hAnsiTheme="minorEastAsia" w:cstheme="minorEastAsia"/>
          <w:b w:val="0"/>
          <w:bCs w:val="0"/>
          <w:sz w:val="21"/>
          <w:szCs w:val="21"/>
          <w:lang w:val="en-US" w:eastAsia="zh-CN"/>
        </w:rPr>
        <w:t>或预算金额使用完毕（先到为准）</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六、供应商资格条件</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一）</w:t>
      </w:r>
      <w:r>
        <w:rPr>
          <w:rFonts w:hint="eastAsia"/>
        </w:rPr>
        <w:t>具有独立承担民事责任的在中华人民共和国境内注册的法人或其他组织</w:t>
      </w:r>
      <w:r>
        <w:rPr>
          <w:rFonts w:hint="eastAsia"/>
          <w:lang w:eastAsia="zh-CN"/>
        </w:rPr>
        <w:t>。</w:t>
      </w:r>
    </w:p>
    <w:p>
      <w:pPr>
        <w:pageBreakBefore w:val="0"/>
        <w:kinsoku/>
        <w:wordWrap/>
        <w:overflowPunct/>
        <w:topLinePunct w:val="0"/>
        <w:bidi w:val="0"/>
        <w:spacing w:line="340" w:lineRule="exact"/>
        <w:ind w:left="0" w:leftChars="0" w:firstLine="420" w:firstLineChars="200"/>
        <w:rPr>
          <w:rFonts w:hint="eastAsia"/>
        </w:rPr>
      </w:pPr>
      <w:bookmarkStart w:id="0" w:name="_Hlk57820465"/>
      <w:r>
        <w:rPr>
          <w:rFonts w:hint="eastAsia"/>
          <w:lang w:eastAsia="zh-CN"/>
        </w:rPr>
        <w:t>（</w:t>
      </w:r>
      <w:r>
        <w:rPr>
          <w:rFonts w:hint="eastAsia"/>
          <w:lang w:val="en-US" w:eastAsia="zh-CN"/>
        </w:rPr>
        <w:t>二）</w:t>
      </w:r>
      <w:bookmarkEnd w:id="0"/>
      <w:r>
        <w:rPr>
          <w:rFonts w:hint="eastAsia"/>
        </w:rPr>
        <w:t>具有履行本项目</w:t>
      </w:r>
      <w:r>
        <w:rPr>
          <w:rFonts w:hint="eastAsia"/>
          <w:lang w:val="en-US" w:eastAsia="zh-CN"/>
        </w:rPr>
        <w:t>所必需的设备和专业技术</w:t>
      </w:r>
      <w:r>
        <w:rPr>
          <w:rFonts w:hint="eastAsia"/>
        </w:rPr>
        <w:t>能力。</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三）</w:t>
      </w:r>
      <w:r>
        <w:rPr>
          <w:rFonts w:hint="eastAsia"/>
        </w:rPr>
        <w:t>供应商</w:t>
      </w:r>
      <w:r>
        <w:rPr>
          <w:rFonts w:hint="eastAsia"/>
          <w:lang w:val="en-US" w:eastAsia="zh-CN"/>
        </w:rPr>
        <w:t>的</w:t>
      </w:r>
      <w:r>
        <w:rPr>
          <w:rFonts w:hint="eastAsia"/>
        </w:rPr>
        <w:t>法定代表人或单位负责人与所参投的本项目其他供应商的法定代表人或单位负责人不</w:t>
      </w:r>
      <w:r>
        <w:rPr>
          <w:rFonts w:hint="eastAsia"/>
          <w:lang w:val="en-US" w:eastAsia="zh-CN"/>
        </w:rPr>
        <w:t>得</w:t>
      </w:r>
      <w:r>
        <w:rPr>
          <w:rFonts w:hint="eastAsia"/>
        </w:rPr>
        <w:t>为同一人且与其他供应商之间不</w:t>
      </w:r>
      <w:r>
        <w:rPr>
          <w:rFonts w:hint="eastAsia"/>
          <w:lang w:val="en-US" w:eastAsia="zh-CN"/>
        </w:rPr>
        <w:t>得</w:t>
      </w:r>
      <w:r>
        <w:rPr>
          <w:rFonts w:hint="eastAsia"/>
        </w:rPr>
        <w:t>存在直接控股、管理关系</w:t>
      </w:r>
      <w:r>
        <w:rPr>
          <w:rFonts w:hint="eastAsia"/>
          <w:lang w:eastAsia="zh-CN"/>
        </w:rPr>
        <w:t>。</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七、款项支付</w:t>
      </w:r>
    </w:p>
    <w:p>
      <w:pPr>
        <w:keepNext w:val="0"/>
        <w:keepLines w:val="0"/>
        <w:pageBreakBefore w:val="0"/>
        <w:kinsoku/>
        <w:wordWrap/>
        <w:overflowPunct/>
        <w:topLinePunct w:val="0"/>
        <w:autoSpaceDE/>
        <w:autoSpaceDN/>
        <w:bidi w:val="0"/>
        <w:snapToGrid w:val="0"/>
        <w:spacing w:line="360" w:lineRule="exact"/>
        <w:ind w:firstLine="420" w:firstLineChars="200"/>
        <w:contextualSpacing/>
        <w:textAlignment w:val="auto"/>
        <w:outlineLvl w:val="9"/>
        <w:rPr>
          <w:rFonts w:hint="eastAsia"/>
          <w:lang w:val="en-US" w:eastAsia="zh-CN"/>
        </w:rPr>
      </w:pPr>
      <w:r>
        <w:rPr>
          <w:rStyle w:val="17"/>
          <w:rFonts w:hint="eastAsia" w:asciiTheme="minorEastAsia" w:hAnsiTheme="minorEastAsia" w:eastAsiaTheme="minorEastAsia" w:cstheme="minorEastAsia"/>
          <w:sz w:val="21"/>
          <w:szCs w:val="21"/>
          <w:lang w:eastAsia="zh-CN"/>
        </w:rPr>
        <w:t>按实际采购</w:t>
      </w:r>
      <w:r>
        <w:rPr>
          <w:rStyle w:val="17"/>
          <w:rFonts w:hint="eastAsia" w:asciiTheme="minorEastAsia" w:hAnsiTheme="minorEastAsia" w:cstheme="minorEastAsia"/>
          <w:sz w:val="21"/>
          <w:szCs w:val="21"/>
          <w:lang w:val="en-US" w:eastAsia="zh-CN"/>
        </w:rPr>
        <w:t>数量</w:t>
      </w:r>
      <w:r>
        <w:rPr>
          <w:rStyle w:val="17"/>
          <w:rFonts w:hint="eastAsia" w:asciiTheme="minorEastAsia" w:hAnsiTheme="minorEastAsia" w:eastAsiaTheme="minorEastAsia" w:cstheme="minorEastAsia"/>
          <w:sz w:val="21"/>
          <w:szCs w:val="21"/>
          <w:lang w:eastAsia="zh-CN"/>
        </w:rPr>
        <w:t>为准，</w:t>
      </w:r>
      <w:r>
        <w:rPr>
          <w:rFonts w:hint="eastAsia"/>
          <w:lang w:val="en-US" w:eastAsia="zh-CN"/>
        </w:rPr>
        <w:t>每个季度结算一次。货物验收合格</w:t>
      </w:r>
      <w:r>
        <w:rPr>
          <w:rStyle w:val="17"/>
          <w:rFonts w:hint="eastAsia" w:asciiTheme="minorEastAsia" w:hAnsiTheme="minorEastAsia" w:eastAsiaTheme="minorEastAsia" w:cstheme="minorEastAsia"/>
          <w:sz w:val="21"/>
          <w:szCs w:val="21"/>
          <w:lang w:eastAsia="zh-CN"/>
        </w:rPr>
        <w:t>，</w:t>
      </w:r>
      <w:r>
        <w:rPr>
          <w:rStyle w:val="17"/>
          <w:rFonts w:hint="eastAsia" w:asciiTheme="minorEastAsia" w:hAnsiTheme="minorEastAsia" w:eastAsiaTheme="minorEastAsia" w:cstheme="minorEastAsia"/>
          <w:sz w:val="21"/>
          <w:szCs w:val="21"/>
          <w:lang w:val="en-US" w:eastAsia="zh-CN"/>
        </w:rPr>
        <w:t>满足合同支付条件，</w:t>
      </w:r>
      <w:r>
        <w:rPr>
          <w:rStyle w:val="17"/>
          <w:rFonts w:hint="eastAsia" w:asciiTheme="minorEastAsia" w:hAnsiTheme="minorEastAsia" w:cstheme="minorEastAsia"/>
          <w:sz w:val="21"/>
          <w:szCs w:val="21"/>
          <w:lang w:val="en-US" w:eastAsia="zh-CN"/>
        </w:rPr>
        <w:t>季度货款在</w:t>
      </w:r>
      <w:r>
        <w:rPr>
          <w:rFonts w:hint="eastAsia"/>
          <w:lang w:val="en-US" w:eastAsia="zh-CN"/>
        </w:rPr>
        <w:t>次季度第一个月收到供应商有效发票后</w:t>
      </w:r>
      <w:bookmarkStart w:id="1" w:name="_GoBack"/>
      <w:bookmarkEnd w:id="1"/>
      <w:r>
        <w:rPr>
          <w:rFonts w:hint="eastAsia"/>
          <w:lang w:val="en-US" w:eastAsia="zh-CN"/>
        </w:rPr>
        <w:t>15日内完成款项支付。</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八、售后保障</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供货商所提供的LED灯、冲水阀、水龙头等配件质保期一年，质保期内如出现故障等质量问题3个工作日包换。</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九、验收标准</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采购人</w:t>
      </w:r>
      <w:r>
        <w:rPr>
          <w:rFonts w:hint="eastAsia"/>
          <w:lang w:eastAsia="zh-CN"/>
        </w:rPr>
        <w:t>根据有关国家行业所列标准及规范、规定、</w:t>
      </w:r>
      <w:r>
        <w:rPr>
          <w:rFonts w:hint="eastAsia"/>
          <w:lang w:val="en-US" w:eastAsia="zh-CN"/>
        </w:rPr>
        <w:t>核对采购文件、送货清单、到货发票、合同等材料</w:t>
      </w:r>
      <w:r>
        <w:rPr>
          <w:rFonts w:hint="eastAsia"/>
          <w:lang w:eastAsia="zh-CN"/>
        </w:rPr>
        <w:t>，</w:t>
      </w:r>
      <w:r>
        <w:rPr>
          <w:rFonts w:hint="eastAsia"/>
          <w:lang w:val="en-US" w:eastAsia="zh-CN"/>
        </w:rPr>
        <w:t>采购项目品牌、数量、质量等均符合要求。</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 xml:space="preserve">      </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 xml:space="preserve">附件：广东省河源监狱日常维修配件采购清单     </w:t>
      </w:r>
    </w:p>
    <w:p>
      <w:pPr>
        <w:pStyle w:val="2"/>
        <w:rPr>
          <w:rFonts w:hint="eastAsia"/>
          <w:lang w:val="en-US" w:eastAsia="zh-CN"/>
        </w:rPr>
      </w:pPr>
    </w:p>
    <w:tbl>
      <w:tblPr>
        <w:tblStyle w:val="19"/>
        <w:tblW w:w="8940" w:type="dxa"/>
        <w:jc w:val="center"/>
        <w:tblInd w:w="-61" w:type="dxa"/>
        <w:shd w:val="clear" w:color="auto" w:fill="auto"/>
        <w:tblLayout w:type="fixed"/>
        <w:tblCellMar>
          <w:top w:w="0" w:type="dxa"/>
          <w:left w:w="0" w:type="dxa"/>
          <w:bottom w:w="0" w:type="dxa"/>
          <w:right w:w="0" w:type="dxa"/>
        </w:tblCellMar>
      </w:tblPr>
      <w:tblGrid>
        <w:gridCol w:w="605"/>
        <w:gridCol w:w="1767"/>
        <w:gridCol w:w="1192"/>
        <w:gridCol w:w="1191"/>
        <w:gridCol w:w="749"/>
        <w:gridCol w:w="750"/>
        <w:gridCol w:w="1355"/>
        <w:gridCol w:w="1331"/>
      </w:tblGrid>
      <w:tr>
        <w:tblPrEx>
          <w:tblLayout w:type="fixed"/>
          <w:tblCellMar>
            <w:top w:w="0" w:type="dxa"/>
            <w:left w:w="0" w:type="dxa"/>
            <w:bottom w:w="0" w:type="dxa"/>
            <w:right w:w="0" w:type="dxa"/>
          </w:tblCellMar>
        </w:tblPrEx>
        <w:trPr>
          <w:trHeight w:val="60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配件名称</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规格</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品牌</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单价最高</w:t>
            </w:r>
          </w:p>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限价（元）</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LED吸顶灯</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直径265mm</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盏</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三雄极光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LED吸顶灯</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直径330mm</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盏</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三雄极光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LED吸顶灯</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直径380mm</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盏</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三雄极光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感应吸顶灯</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红外感应带光控NF</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三雄极光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LED吸顶灯光源</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贴模组</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飞利浦</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84.5</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LED-T8管</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1.2米</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三雄极光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LED-T8管</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1.2米</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三雄极光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LED-T8管</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0.9米</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三雄极光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LEDT8单支架</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1.2米</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三雄极光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LEDT8单支架</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0.9米</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三雄极光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LED双支支架</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1.2米</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三雄极光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T5LED一体化</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1.2米</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三雄极光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T5LED一体化</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1.0米</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三雄极光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T5LED一体化</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0.9米</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三雄极光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T5LED一体化</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0.6米</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三雄极光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T5管双接头</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双接头</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三雄极光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LED球泡灯</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三雄极光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LED球泡灯</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三雄极光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LED球泡灯</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三雄极光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38.3</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LED球泡灯</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三雄极光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LED球泡灯</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三雄极光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LED球泡灯</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三雄极光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转换灯头</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E40转E27</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玉米灯</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LED筒灯</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9cm</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三雄极光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LED筒灯</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三雄极光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LED筒灯</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12cm</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三雄极光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49.8</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LED筒灯</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15cm</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三雄极光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LED平板灯</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30CM*30CM</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三雄极光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LED平板灯</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30cm*60cm</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三雄极光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LED平板灯</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卡簧36W</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60CM*60CM</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三雄极光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LED平板灯</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卡簧74W</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60cm*120cm</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三雄极光 </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暗装铝框</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加厚</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30*30cm</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明装铝框</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加厚</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30*60cm</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E27灯头</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陶瓷</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E40灯头</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陶瓷</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1P漏电开关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NXBLE</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20A</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1P漏电开关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NXBLE</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32A</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1P漏电开关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NXBLE</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63A</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2P漏电开关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NXBLE</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32A</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2P漏电开关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NXBLE</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63A</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3P漏电开关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NXBLE</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32A</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3P漏电开关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NXBLE</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63A</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4P漏电开关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NXBLE</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32A</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4P漏电开关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NXBLE</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63A</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139.5</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1P空气开关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NXB</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20A</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1P空气开关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NXB</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32A</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1P空气开关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NXB</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63A</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1P+N空气开关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NXB</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32A</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1P+N空气开关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NXB</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40A</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2P空气开关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NXB</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32A</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2P空气开关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NXB</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63A</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3P空气开关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NXB</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16A</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3P空气开关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NXB</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32A</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3P空气开关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NXB</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63A</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4P空气开关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NXB</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63A</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空气开关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NXB</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1*100A</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空气开关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NXB</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2*100A</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空气开关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NXB</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3*100A</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漏电开关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NXBLE</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2*100A</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漏电开关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NXBLE</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3*100A</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100.2</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空气开关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NM1系列</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100A/3300</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159.2</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空气开关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NM1系列</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160A/3300</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空气开关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NM1系列</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200A/3300</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空气开关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NM1系列</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250A/3300</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209</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空气开关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NM1系列</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315A/3300</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375</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漏电开关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NM1LE</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100A/4300</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漏电开关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NM1LE</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160A/4300</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漏电开关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NM1LE</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200A/4300</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漏电开关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NM1LE</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250A/4300</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漏电开关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NM1LE</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300A/4300</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627</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空气开关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NSX系列</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3P 100 </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1126</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空气开关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NSX系列</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3P 160 </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1728</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空气开关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NSX系列</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3P 250 </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2604</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空气开关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NSX系列</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3P 400 </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施耐德</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4820</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时控开关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声控感应开关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快速接线端子</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2进2出</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线槽</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3.8米</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联塑</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线槽</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3.8米</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联塑</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线槽</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3.8米</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联塑</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线槽</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3.8米</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99*27</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联塑</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弧形线槽</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2米</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联塑</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弧形线槽</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2米</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联塑</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弧形线槽</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2米</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1寸</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联塑</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二脚插头</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10A</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公牛</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二脚插头</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16A</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公牛</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三脚插头</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10A</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公牛</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三脚插头</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16A</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公牛</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二三排插</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6位</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公牛</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二三插座面板</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86型</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罗格朗</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二二三三插座面板</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明装</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明装</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罗格朗</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86型</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一位</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罗格朗</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86型</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二位</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罗格朗</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86型</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三位</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罗格朗</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86型</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四位</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罗格朗</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空调插座面板（带开关）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86型</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一位</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罗格朗</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插座底盒</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86型</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盲板盖</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86型</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钢锯片</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手磨机砂轮片</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片</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电视万能遥控器</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空调万能遥控器</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楼顶扇</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FD40-11A</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16寸</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美的</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壁扇</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FWA40YA</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16寸</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美的</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防盗门锁</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玥玛</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107</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防盗门锁芯</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玥玛</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球形锁</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玥玛</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球锁锁芯</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玥玛</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实木门锁</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玥玛</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实木门锁舌</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实木门锁芯</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卫生间门锁（执手锁）</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玥玛</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门锁把手</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4.0加厚</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2副/套</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挂锁</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玥玛</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U型玻璃锁</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玥玛</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链锁（带胶套）</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玥玛</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86</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门吸</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门插销</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玻璃门拉手</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2副/套</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水管钳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国标</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12寸</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水管剪</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国标</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12寸</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胶钳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国标</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8寸</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尖嘴钳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国标</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8寸</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剪线钳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国标</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8寸</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斜口钳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国标</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8寸</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螺丝批</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国标</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一字、十字</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活动扳手</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国标</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6—15寸</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梅花扳手</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国标</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8—17寸</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烟斗套筒扳手</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国标</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10—17</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内六角扳手</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国标</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爆炸螺丝（带勾）</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6里</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133</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爆炸螺丝</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8里</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爆炸螺丝</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10厘</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圆铁线</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14号</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捆</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w:t>
            </w:r>
          </w:p>
        </w:tc>
        <w:tc>
          <w:tcPr>
            <w:tcW w:w="17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数字感应电笔</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w:t>
            </w:r>
          </w:p>
        </w:tc>
        <w:tc>
          <w:tcPr>
            <w:tcW w:w="7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奥能精工</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r>
      <w:tr>
        <w:tblPrEx>
          <w:tblLayout w:type="fixed"/>
          <w:tblCellMar>
            <w:top w:w="0" w:type="dxa"/>
            <w:left w:w="0" w:type="dxa"/>
            <w:bottom w:w="0" w:type="dxa"/>
            <w:right w:w="0" w:type="dxa"/>
          </w:tblCellMar>
        </w:tblPrEx>
        <w:trPr>
          <w:trHeight w:val="56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加厚铝梯</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工程梯2米高</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8级</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w:t>
            </w:r>
          </w:p>
        </w:tc>
      </w:tr>
      <w:tr>
        <w:tblPrEx>
          <w:tblLayout w:type="fixed"/>
          <w:tblCellMar>
            <w:top w:w="0" w:type="dxa"/>
            <w:left w:w="0" w:type="dxa"/>
            <w:bottom w:w="0" w:type="dxa"/>
            <w:right w:w="0" w:type="dxa"/>
          </w:tblCellMar>
        </w:tblPrEx>
        <w:trPr>
          <w:trHeight w:val="560"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加厚铝梯</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工程梯3米高</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12级</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铜芯线</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BVR</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1.5平方</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金龙羽</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铜芯线</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BVR</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2.5平方</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金龙羽</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293</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铜芯线</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BVR</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4平方</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金龙羽</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铜芯线</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BVR</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6平方</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金龙羽</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开关箱</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2-4位</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开关箱</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6-9位</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开关箱</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10-13位</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开关箱</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18-22位</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防水开关箱</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2-4位</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线管</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联塑</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线管</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联塑</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钻嘴</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6、8厘</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151</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钻嘴</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10、12厘</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穿墙钻嘴</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18厘</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排气扇</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6寸</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金羚</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排气扇</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8寸</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金羚</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排气扇</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10寸</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金羚</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排气扇</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12寸</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金羚</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220V电子电表</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DDS7738</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5(20)A</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上海毕跃</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380V电子电表</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DTS7738</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20（80）A</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上海毕跃</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380V电子电表</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DTS7738</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30（100）A</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上海毕跃</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460</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LED户外投光灯</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IP65</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亚明</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LED户外投光灯</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IP65</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亚明</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162</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LED户外投光灯</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IP65</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亚明</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LED户外投光灯</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IP65</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亚明</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633</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LED挑臂路灯</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IP65</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飞利浦</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920</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电热水器隔电墙</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电热水器安全阀</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电热水器漏电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插头</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10A</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U型电热水器</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冷热开关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全铜芯</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电胶布</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不锈钢丝编织软管</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4分</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30CM</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不锈钢丝编织软管</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4分</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60CM</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不锈钢丝编织软管</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4分</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80CM</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不锈钢丝编织软管</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4分</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150CM</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174</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花洒头</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4分</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花洒软管</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4分</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1.5M</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花洒头固定座</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常规</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洗手盆下水器</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常规</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178</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洗菜盆下水器</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常规</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洗手盆下水器软管</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常规</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洗菜盆双槽下水管</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常规</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水胶布</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玻璃胶</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玻璃胶枪</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自功螺丝</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3.5*35</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胶粒</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186</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冲水阀（蹲厕）</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全铜芯</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1寸</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冲水阀（站厕）</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全铜芯</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洗手盆水龙头</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全铜芯</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单冷</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洗手盆水龙头</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全铜芯</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冷热</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洗菜盆水龙头</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全铜芯</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单冷</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191</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洗菜盆水龙头</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全铜芯</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冷热</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不锈钢水龙头</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全铜芯</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193</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台上盆水龙头</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全铜芯</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单冷</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台上盆水龙头</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全铜芯</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冷热</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195</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花洒龙头开关</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全铜芯</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冷热</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378</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不锈钢加长水龙头</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全铜芯</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净水器水龙头</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全铜芯</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PVC水管</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联塑</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199</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PVC水管</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联塑</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12.75</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PVC水管</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1寸</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联塑</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PVC三通、弯头、</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直通</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联塑</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PVC三通、弯头、</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直通</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联塑</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PVC三通、弯头、</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直通</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1寸</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联塑</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PVC内牙直通</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联塑</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PVC内牙直通</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联塑</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PVC内牙三通</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联塑</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铁三通</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钢内接</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209</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钢内接</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铁内接</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PPR闸阀</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联塑</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PPR闸阀</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联塑</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PPR闸阀</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联塑</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PPR闸阀</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联塑</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PPR闸阀</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联塑</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PVC球阀</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联塑</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PVC球阀</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联塑</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218</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PVC球阀</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1寸</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联塑</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铜球阀</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联塑</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铁活接</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PVC内牙三通</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PVC内牙弯头</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PVC内牙弯头</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铜角阀</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225</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铜角阀</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水表</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DN20</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水表</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DN25</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铝合页（门）</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副</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防火门锁</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304不锈钢</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不锈钢插销</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304不锈钢</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水管堵头</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水管堵头</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PVC管码</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4分、6分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PVC胶水</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大号</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235</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免钉胶</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502系列</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瓶</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广州华士</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文件柜锁</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237</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射钉</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2.2-2.7</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钢钉</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1寸</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239</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抽芯铆钉</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盒</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铆钉枪</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r>
      <w:tr>
        <w:tblPrEx>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241</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扎线</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4*300</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242</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扎线</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8*500</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r>
      <w:tr>
        <w:tblPrEx>
          <w:shd w:val="clear" w:color="auto" w:fill="auto"/>
          <w:tblLayout w:type="fixed"/>
          <w:tblCellMar>
            <w:top w:w="0" w:type="dxa"/>
            <w:left w:w="0" w:type="dxa"/>
            <w:bottom w:w="0" w:type="dxa"/>
            <w:right w:w="0" w:type="dxa"/>
          </w:tblCellMar>
        </w:tblPrEx>
        <w:trPr>
          <w:trHeight w:val="499" w:hRule="atLeast"/>
          <w:jc w:val="center"/>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纱手套</w:t>
            </w:r>
          </w:p>
        </w:tc>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标准</w:t>
            </w:r>
          </w:p>
        </w:tc>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3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通用配件</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shd w:val="clear" w:color="auto" w:fill="auto"/>
          <w:tblLayout w:type="fixed"/>
          <w:tblCellMar>
            <w:top w:w="0" w:type="dxa"/>
            <w:left w:w="0" w:type="dxa"/>
            <w:bottom w:w="0" w:type="dxa"/>
            <w:right w:w="0" w:type="dxa"/>
          </w:tblCellMar>
        </w:tblPrEx>
        <w:trPr>
          <w:trHeight w:val="960" w:hRule="atLeast"/>
          <w:jc w:val="center"/>
        </w:trPr>
        <w:tc>
          <w:tcPr>
            <w:tcW w:w="8940" w:type="dxa"/>
            <w:gridSpan w:val="8"/>
            <w:tcBorders>
              <w:top w:val="nil"/>
              <w:left w:val="nil"/>
              <w:bottom w:val="nil"/>
              <w:right w:val="nil"/>
            </w:tcBorders>
            <w:shd w:val="clear" w:color="auto" w:fill="auto"/>
            <w:tcMar>
              <w:top w:w="15" w:type="dxa"/>
              <w:left w:w="15" w:type="dxa"/>
              <w:right w:w="15" w:type="dxa"/>
            </w:tcMar>
            <w:vAlign w:val="top"/>
          </w:tcPr>
          <w:p>
            <w:pPr>
              <w:keepNext w:val="0"/>
              <w:keepLines w:val="0"/>
              <w:widowControl/>
              <w:suppressLineNumbers w:val="0"/>
              <w:spacing w:after="200" w:afterAutospacing="0"/>
              <w:jc w:val="both"/>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1.以上配件均不得提供批量工程款配件；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2.以上报价含税金、送货（按需随时在约定时间内送货）等全部费用。</w:t>
            </w:r>
          </w:p>
        </w:tc>
      </w:tr>
    </w:tbl>
    <w:p>
      <w:pPr>
        <w:pStyle w:val="2"/>
        <w:rPr>
          <w:rFonts w:hint="eastAsia"/>
          <w:lang w:val="en-US" w:eastAsia="zh-CN"/>
        </w:rPr>
      </w:pP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 xml:space="preserve">  </w:t>
      </w:r>
    </w:p>
    <w:p>
      <w:pPr>
        <w:pageBreakBefore w:val="0"/>
        <w:kinsoku/>
        <w:wordWrap/>
        <w:overflowPunct/>
        <w:topLinePunct w:val="0"/>
        <w:bidi w:val="0"/>
        <w:spacing w:line="340" w:lineRule="exact"/>
        <w:ind w:left="0" w:leftChars="0" w:firstLine="420" w:firstLineChars="200"/>
        <w:rPr>
          <w:rFonts w:hint="eastAsia"/>
        </w:rPr>
      </w:pPr>
    </w:p>
    <w:p>
      <w:pPr>
        <w:pageBreakBefore w:val="0"/>
        <w:kinsoku/>
        <w:wordWrap/>
        <w:overflowPunct/>
        <w:topLinePunct w:val="0"/>
        <w:bidi w:val="0"/>
        <w:spacing w:line="340" w:lineRule="exact"/>
        <w:ind w:left="0" w:leftChars="0" w:firstLine="420" w:firstLineChars="200"/>
        <w:rPr>
          <w:rFonts w:hint="eastAsia"/>
        </w:rPr>
      </w:pPr>
    </w:p>
    <w:p>
      <w:pPr>
        <w:pageBreakBefore w:val="0"/>
        <w:kinsoku/>
        <w:wordWrap/>
        <w:overflowPunct/>
        <w:topLinePunct w:val="0"/>
        <w:bidi w:val="0"/>
        <w:spacing w:line="340" w:lineRule="exact"/>
        <w:ind w:left="0" w:leftChars="0" w:firstLine="420" w:firstLineChars="200"/>
        <w:rPr>
          <w:rFonts w:hint="eastAsia"/>
        </w:rPr>
      </w:pPr>
    </w:p>
    <w:p>
      <w:pPr>
        <w:pageBreakBefore w:val="0"/>
        <w:kinsoku/>
        <w:wordWrap/>
        <w:overflowPunct/>
        <w:topLinePunct w:val="0"/>
        <w:bidi w:val="0"/>
        <w:spacing w:line="340" w:lineRule="exact"/>
        <w:ind w:left="0" w:leftChars="0" w:firstLine="420" w:firstLineChars="200"/>
        <w:rPr>
          <w:rFonts w:hint="eastAsia"/>
        </w:rPr>
      </w:pPr>
    </w:p>
    <w:p>
      <w:pPr>
        <w:pageBreakBefore w:val="0"/>
        <w:kinsoku/>
        <w:wordWrap/>
        <w:overflowPunct/>
        <w:topLinePunct w:val="0"/>
        <w:bidi w:val="0"/>
        <w:spacing w:line="340" w:lineRule="exact"/>
        <w:ind w:left="0" w:leftChars="0" w:firstLine="420" w:firstLineChars="200"/>
        <w:rPr>
          <w:rFonts w:hint="eastAsia"/>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default" w:eastAsiaTheme="minorEastAsia"/>
          <w:b/>
          <w:bCs/>
          <w:sz w:val="32"/>
          <w:szCs w:val="32"/>
          <w:lang w:val="en-US" w:eastAsia="zh-CN"/>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第</w:t>
      </w: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 xml:space="preserve">篇  </w:t>
      </w:r>
      <w:r>
        <w:rPr>
          <w:rFonts w:hint="eastAsia"/>
          <w:b/>
          <w:bCs/>
          <w:sz w:val="32"/>
          <w:szCs w:val="32"/>
          <w:lang w:val="en-US" w:eastAsia="zh-CN"/>
        </w:rPr>
        <w:t xml:space="preserve"> </w:t>
      </w:r>
      <w:r>
        <w:rPr>
          <w:rFonts w:hint="eastAsia"/>
          <w:b/>
          <w:bCs/>
          <w:sz w:val="32"/>
          <w:szCs w:val="32"/>
        </w:rPr>
        <w:t>报价</w:t>
      </w:r>
      <w:r>
        <w:rPr>
          <w:rFonts w:hint="eastAsia"/>
          <w:b/>
          <w:bCs/>
          <w:sz w:val="32"/>
          <w:szCs w:val="32"/>
          <w:lang w:val="en-US" w:eastAsia="zh-CN"/>
        </w:rPr>
        <w:t>文件格式</w:t>
      </w:r>
    </w:p>
    <w:p>
      <w:pPr>
        <w:pageBreakBefore w:val="0"/>
        <w:kinsoku/>
        <w:wordWrap/>
        <w:overflowPunct/>
        <w:topLinePunct w:val="0"/>
        <w:bidi w:val="0"/>
        <w:spacing w:line="340" w:lineRule="exact"/>
        <w:rPr>
          <w:rFonts w:hint="eastAsia"/>
        </w:rPr>
      </w:pPr>
    </w:p>
    <w:p>
      <w:pPr>
        <w:pStyle w:val="21"/>
        <w:pageBreakBefore w:val="0"/>
        <w:kinsoku/>
        <w:wordWrap/>
        <w:overflowPunct/>
        <w:topLinePunct w:val="0"/>
        <w:autoSpaceDE/>
        <w:autoSpaceDN/>
        <w:bidi w:val="0"/>
        <w:spacing w:line="760" w:lineRule="exact"/>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ind w:left="0" w:leftChars="0" w:firstLine="0" w:firstLineChars="0"/>
        <w:jc w:val="center"/>
        <w:rPr>
          <w:rFonts w:hint="eastAsia" w:asciiTheme="minorEastAsia" w:hAnsiTheme="minorEastAsia" w:eastAsiaTheme="minorEastAsia" w:cstheme="minorEastAsia"/>
          <w:b/>
          <w:bCs/>
          <w:sz w:val="44"/>
          <w:szCs w:val="44"/>
          <w:u w:val="none"/>
          <w:lang w:val="en-US" w:eastAsia="zh-CN"/>
        </w:rPr>
      </w:pPr>
      <w:r>
        <w:rPr>
          <w:rFonts w:hint="eastAsia" w:asciiTheme="minorEastAsia" w:hAnsiTheme="minorEastAsia" w:cstheme="minorEastAsia"/>
          <w:b/>
          <w:bCs/>
          <w:sz w:val="44"/>
          <w:szCs w:val="44"/>
          <w:u w:val="none"/>
          <w:lang w:val="en-US" w:eastAsia="zh-CN"/>
        </w:rPr>
        <w:t>广东省河源监狱日常维修配件项目</w:t>
      </w:r>
    </w:p>
    <w:p>
      <w:pPr>
        <w:pStyle w:val="4"/>
        <w:pageBreakBefore w:val="0"/>
        <w:kinsoku/>
        <w:wordWrap/>
        <w:overflowPunct/>
        <w:topLinePunct w:val="0"/>
        <w:autoSpaceDE/>
        <w:autoSpaceDN/>
        <w:bidi w:val="0"/>
        <w:spacing w:line="760" w:lineRule="exact"/>
        <w:textAlignment w:val="auto"/>
        <w:rPr>
          <w:rFonts w:hint="eastAsia" w:ascii="仿宋" w:hAnsi="仿宋" w:eastAsia="仿宋" w:cs="仿宋"/>
          <w:b/>
          <w:bCs/>
          <w:sz w:val="32"/>
          <w:szCs w:val="32"/>
          <w:lang w:eastAsia="zh-CN"/>
        </w:rPr>
      </w:pPr>
    </w:p>
    <w:p>
      <w:pPr>
        <w:pageBreakBefore w:val="0"/>
        <w:kinsoku/>
        <w:wordWrap/>
        <w:overflowPunct/>
        <w:topLinePunct w:val="0"/>
        <w:autoSpaceDE/>
        <w:autoSpaceDN/>
        <w:bidi w:val="0"/>
        <w:spacing w:line="760" w:lineRule="exact"/>
        <w:textAlignment w:val="auto"/>
        <w:rPr>
          <w:rFonts w:hint="eastAsia"/>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cs="宋体"/>
          <w:b/>
          <w:bCs/>
          <w:sz w:val="72"/>
          <w:szCs w:val="72"/>
          <w:lang w:val="en-US" w:eastAsia="zh-CN"/>
        </w:rPr>
      </w:pPr>
      <w:r>
        <w:rPr>
          <w:rFonts w:hint="eastAsia" w:ascii="宋体" w:hAnsi="宋体" w:cs="宋体"/>
          <w:b/>
          <w:bCs/>
          <w:sz w:val="72"/>
          <w:szCs w:val="72"/>
          <w:lang w:val="en-US" w:eastAsia="zh-CN"/>
        </w:rPr>
        <w:t>报</w:t>
      </w:r>
    </w:p>
    <w:p>
      <w:pPr>
        <w:pStyle w:val="21"/>
        <w:pageBreakBefore w:val="0"/>
        <w:kinsoku/>
        <w:wordWrap/>
        <w:overflowPunct/>
        <w:topLinePunct w:val="0"/>
        <w:autoSpaceDE/>
        <w:autoSpaceDN/>
        <w:bidi w:val="0"/>
        <w:spacing w:line="760" w:lineRule="exact"/>
        <w:textAlignment w:val="auto"/>
        <w:rPr>
          <w:rFonts w:hint="eastAsia" w:ascii="宋体" w:hAnsi="宋体" w:cs="宋体"/>
          <w:b/>
          <w:bCs/>
          <w:sz w:val="72"/>
          <w:szCs w:val="72"/>
          <w:lang w:val="en-US"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价</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文</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仿宋" w:hAnsi="仿宋" w:eastAsia="仿宋" w:cs="仿宋"/>
          <w:b/>
          <w:bCs/>
          <w:sz w:val="72"/>
          <w:szCs w:val="72"/>
          <w:lang w:eastAsia="zh-CN"/>
        </w:rPr>
      </w:pPr>
      <w:r>
        <w:rPr>
          <w:rFonts w:hint="eastAsia" w:ascii="宋体" w:hAnsi="宋体" w:eastAsia="宋体" w:cs="宋体"/>
          <w:b/>
          <w:bCs/>
          <w:sz w:val="72"/>
          <w:szCs w:val="72"/>
          <w:lang w:eastAsia="zh-CN"/>
        </w:rPr>
        <w:t>件</w:t>
      </w:r>
    </w:p>
    <w:p>
      <w:pPr>
        <w:pageBreakBefore w:val="0"/>
        <w:kinsoku/>
        <w:wordWrap/>
        <w:overflowPunct/>
        <w:topLinePunct w:val="0"/>
        <w:bidi w:val="0"/>
        <w:spacing w:line="340" w:lineRule="exact"/>
        <w:jc w:val="center"/>
        <w:rPr>
          <w:rFonts w:hint="eastAsia" w:ascii="仿宋" w:hAnsi="仿宋" w:eastAsia="仿宋" w:cs="仿宋"/>
          <w:b/>
          <w:bCs/>
          <w:sz w:val="32"/>
          <w:szCs w:val="32"/>
          <w:lang w:eastAsia="zh-CN"/>
        </w:rPr>
      </w:pPr>
    </w:p>
    <w:p>
      <w:pPr>
        <w:pStyle w:val="21"/>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21"/>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1709" w:rightChars="8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lang w:eastAsia="zh-CN"/>
          <w14:textFill>
            <w14:solidFill>
              <w14:schemeClr w14:val="tx1"/>
            </w14:solidFill>
          </w14:textFill>
        </w:rPr>
        <w:t>供应商</w:t>
      </w:r>
      <w:r>
        <w:rPr>
          <w:rFonts w:hint="eastAsia" w:asciiTheme="minorEastAsia" w:hAnsiTheme="minorEastAsia" w:cstheme="minorEastAsia"/>
          <w:color w:val="000000" w:themeColor="text1"/>
          <w:sz w:val="32"/>
          <w:szCs w:val="32"/>
          <w:lang w:val="en-US" w:eastAsia="zh-CN"/>
          <w14:textFill>
            <w14:solidFill>
              <w14:schemeClr w14:val="tx1"/>
            </w14:solidFill>
          </w14:textFill>
        </w:rPr>
        <w:t>名称</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单位盖</w:t>
      </w:r>
      <w:r>
        <w:rPr>
          <w:rFonts w:hint="eastAsia" w:asciiTheme="minorEastAsia" w:hAnsiTheme="minorEastAsia" w:eastAsiaTheme="minorEastAsia" w:cstheme="minorEastAsia"/>
          <w:color w:val="000000" w:themeColor="text1"/>
          <w:sz w:val="32"/>
          <w:szCs w:val="32"/>
          <w14:textFill>
            <w14:solidFill>
              <w14:schemeClr w14:val="tx1"/>
            </w14:solidFill>
          </w14:textFill>
        </w:rPr>
        <w:t>公章）：</w:t>
      </w: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法定代表人/授权代表签名：</w:t>
      </w: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联系电话：</w:t>
      </w: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日期：</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年</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月</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日</w:t>
      </w: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一、报价函………………………………………………1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二、</w:t>
      </w:r>
      <w:r>
        <w:rPr>
          <w:rFonts w:hint="eastAsia"/>
          <w:b w:val="0"/>
          <w:bCs w:val="0"/>
          <w:sz w:val="32"/>
          <w:szCs w:val="32"/>
        </w:rPr>
        <w:t>供应商资格声明函</w:t>
      </w:r>
      <w:r>
        <w:rPr>
          <w:rFonts w:hint="eastAsia" w:asciiTheme="minorEastAsia" w:hAnsiTheme="minorEastAsia" w:eastAsiaTheme="minorEastAsia" w:cstheme="minorEastAsia"/>
          <w:b w:val="0"/>
          <w:bCs w:val="0"/>
          <w:color w:val="000000"/>
          <w:sz w:val="32"/>
          <w:szCs w:val="32"/>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三、营业执照（副本）…………………………………3</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pPr>
      <w:r>
        <w:rPr>
          <w:rFonts w:hint="eastAsia" w:asciiTheme="minorEastAsia" w:hAnsiTheme="minorEastAsia" w:eastAsiaTheme="minorEastAsia" w:cstheme="minorEastAsia"/>
          <w:b w:val="0"/>
          <w:bCs w:val="0"/>
          <w:color w:val="000000"/>
          <w:sz w:val="32"/>
          <w:szCs w:val="32"/>
          <w:lang w:val="en-US" w:eastAsia="zh-CN"/>
        </w:rPr>
        <w:t>四、</w:t>
      </w: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法定代表人/负责人证明书</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sz w:val="32"/>
          <w:szCs w:val="32"/>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五、授权委托书（如需授权）…………………………5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六、</w:t>
      </w:r>
      <w:r>
        <w:rPr>
          <w:rFonts w:hint="eastAsia" w:asciiTheme="minorEastAsia" w:hAnsiTheme="minorEastAsia" w:eastAsiaTheme="minorEastAsia" w:cstheme="minorEastAsia"/>
          <w:color w:val="000000" w:themeColor="text1"/>
          <w:sz w:val="32"/>
          <w:szCs w:val="32"/>
          <w14:textFill>
            <w14:solidFill>
              <w14:schemeClr w14:val="tx1"/>
            </w14:solidFill>
          </w14:textFill>
        </w:rPr>
        <w:t>报价表</w:t>
      </w:r>
      <w:r>
        <w:rPr>
          <w:rFonts w:hint="eastAsia" w:asciiTheme="minorEastAsia" w:hAnsiTheme="minorEastAsia" w:eastAsiaTheme="minorEastAsia" w:cstheme="minorEastAsia"/>
          <w:b w:val="0"/>
          <w:bCs w:val="0"/>
          <w:color w:val="000000"/>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1"/>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Style w:val="21"/>
        <w:pageBreakBefore w:val="0"/>
        <w:kinsoku/>
        <w:wordWrap/>
        <w:overflowPunct/>
        <w:topLinePunct w:val="0"/>
        <w:bidi w:val="0"/>
        <w:spacing w:line="340" w:lineRule="exact"/>
        <w:rPr>
          <w:rFonts w:hint="eastAsia"/>
        </w:rPr>
      </w:pPr>
    </w:p>
    <w:p>
      <w:pPr>
        <w:pageBreakBefore w:val="0"/>
        <w:widowControl/>
        <w:kinsoku/>
        <w:wordWrap/>
        <w:overflowPunct/>
        <w:topLinePunct w:val="0"/>
        <w:autoSpaceDE w:val="0"/>
        <w:autoSpaceDN w:val="0"/>
        <w:bidi w:val="0"/>
        <w:spacing w:line="340" w:lineRule="exact"/>
        <w:ind w:left="11" w:leftChars="0" w:right="893" w:hanging="11" w:hangingChars="5"/>
        <w:textAlignment w:val="bottom"/>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（一）资格性、符合性部分</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1．报价函</w:t>
      </w:r>
    </w:p>
    <w:p>
      <w:pPr>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报  价  函</w:t>
      </w:r>
    </w:p>
    <w:p>
      <w:pPr>
        <w:pStyle w:val="24"/>
        <w:keepNext w:val="0"/>
        <w:pageBreakBefore w:val="0"/>
        <w:widowControl/>
        <w:kinsoku/>
        <w:wordWrap/>
        <w:overflowPunct/>
        <w:topLinePunct w:val="0"/>
        <w:bidi w:val="0"/>
        <w:spacing w:after="0"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4"/>
        <w:keepNext w:val="0"/>
        <w:pageBreakBefore w:val="0"/>
        <w:widowControl/>
        <w:kinsoku/>
        <w:wordWrap/>
        <w:overflowPunct/>
        <w:topLinePunct w:val="0"/>
        <w:bidi w:val="0"/>
        <w:spacing w:after="0"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致：</w:t>
      </w:r>
      <w:r>
        <w:rPr>
          <w:rFonts w:hint="eastAsia" w:asciiTheme="minorEastAsia" w:hAnsiTheme="minorEastAsia" w:eastAsiaTheme="minorEastAsia" w:cstheme="minorEastAsia"/>
          <w:b/>
          <w:color w:val="000000" w:themeColor="text1"/>
          <w:sz w:val="21"/>
          <w:szCs w:val="21"/>
          <w:lang w:val="zh-CN"/>
          <w14:textFill>
            <w14:solidFill>
              <w14:schemeClr w14:val="tx1"/>
            </w14:solidFill>
          </w14:textFill>
        </w:rPr>
        <w:t>广东省河源监狱</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根据贵方为本采购项目的报价邀请，我方</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名称）作为</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正式授权</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（授权代表全名，职务）代表我方进行有关本报价的一切事宜。</w:t>
      </w:r>
    </w:p>
    <w:p>
      <w:pPr>
        <w:pStyle w:val="6"/>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在此提交的</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文件，包括如下等内容，并已密封封装：</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（一）报价文件。</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我方已完全明白文件的所有条款要求，并重申以下几点：</w:t>
      </w:r>
    </w:p>
    <w:p>
      <w:pPr>
        <w:ind w:left="0" w:leftChars="0"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（一）我方决定参加“</w:t>
      </w:r>
      <w:r>
        <w:rPr>
          <w:rFonts w:hint="eastAsia" w:asciiTheme="minorEastAsia" w:hAnsiTheme="minorEastAsia" w:cstheme="minorEastAsia"/>
          <w:sz w:val="21"/>
          <w:szCs w:val="21"/>
          <w:u w:val="single"/>
          <w:lang w:val="en-US" w:eastAsia="zh-CN"/>
        </w:rPr>
        <w:t>广东省河源监狱日常维修配件项目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”的报价；</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（二）全部货物之供应和有关服务的报价总价（详见报价表）；</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（三）本报价文件的有效期自报价截止日后90天有效，如成交，有效期将延至合同终止日为止；</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（四）我方已详细研究了文件的所有内容包括修正文（如有）和所有已提供的参考资料以及有关附件并完全明白，我方放弃在此方面提出含糊意见或误解的一切权力；</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五</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）我方同意按照贵方可能提出的要求而提供与报价有关的任何其他数据或信息；</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六</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）我方声明报价文件及所提供一切资料均真实无误，</w:t>
      </w:r>
      <w:r>
        <w:rPr>
          <w:rFonts w:hint="eastAsia" w:asciiTheme="minorEastAsia" w:hAnsiTheme="minorEastAsia" w:eastAsiaTheme="minorEastAsia" w:cstheme="minorEastAsia"/>
          <w:b/>
          <w:color w:val="000000" w:themeColor="text1"/>
          <w:sz w:val="21"/>
          <w:szCs w:val="21"/>
          <w14:textFill>
            <w14:solidFill>
              <w14:schemeClr w14:val="tx1"/>
            </w14:solidFill>
          </w14:textFill>
        </w:rPr>
        <w:t>无任何虚假或不真实的材料。如我方在报价文件中提供任何不真实的材料，无论其材料是否重要，采购人可视为报价无效，并由我方承担由此产生的全部法律责任</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七</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）我方理解贵方不一定接受任何贵方可能收到的报价；</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八</w:t>
      </w:r>
      <w:r>
        <w:rPr>
          <w:rFonts w:hint="eastAsia" w:asciiTheme="minorEastAsia" w:hAnsiTheme="minorEastAsia" w:eastAsiaTheme="minorEastAsia" w:cstheme="minorEastAsia"/>
          <w:color w:val="000000" w:themeColor="text1"/>
          <w:sz w:val="21"/>
          <w:szCs w:val="21"/>
          <w14:textFill>
            <w14:solidFill>
              <w14:schemeClr w14:val="tx1"/>
            </w14:solidFill>
          </w14:textFill>
        </w:rPr>
        <w:t>）我方如果成交，将保证履行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文件以及</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文件修改书（如有）中的全部责任和义务，在成交通知书规定的时间内签订《合同书》，并严格按国家有关法规履行自己的全部责任，按质、按量、按期完成《合同书》中的全部任务</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1"/>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ascii="宋体" w:hAnsi="宋体"/>
          <w:szCs w:val="21"/>
          <w:u w:val="single"/>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p>
    <w:p>
      <w:pPr>
        <w:pageBreakBefore w:val="0"/>
        <w:kinsoku/>
        <w:wordWrap/>
        <w:overflowPunct/>
        <w:topLinePunct w:val="0"/>
        <w:bidi w:val="0"/>
        <w:spacing w:beforeLines="50" w:line="340" w:lineRule="exact"/>
        <w:ind w:left="10" w:leftChars="0" w:firstLine="409" w:firstLineChars="195"/>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p>
      <w:pPr>
        <w:pStyle w:val="10"/>
        <w:pageBreakBefore w:val="0"/>
        <w:kinsoku/>
        <w:wordWrap/>
        <w:overflowPunct/>
        <w:topLinePunct w:val="0"/>
        <w:bidi w:val="0"/>
        <w:spacing w:line="340" w:lineRule="exact"/>
        <w:ind w:left="11" w:leftChars="0" w:right="869" w:rightChars="414"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0"/>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eastAsiaTheme="minorEastAsia" w:cstheme="minorEastAsia"/>
          <w:color w:val="000000" w:themeColor="text1"/>
          <w:sz w:val="21"/>
          <w:szCs w:val="21"/>
          <w14:textFill>
            <w14:solidFill>
              <w14:schemeClr w14:val="tx1"/>
            </w14:solidFill>
          </w14:textFill>
        </w:rPr>
        <w:t>2．资格声明书</w:t>
      </w:r>
    </w:p>
    <w:p>
      <w:pPr>
        <w:pageBreakBefore w:val="0"/>
        <w:kinsoku/>
        <w:wordWrap/>
        <w:overflowPunct/>
        <w:topLinePunct w:val="0"/>
        <w:bidi w:val="0"/>
        <w:spacing w:line="340" w:lineRule="exact"/>
        <w:jc w:val="center"/>
        <w:rPr>
          <w:rFonts w:hint="eastAsia"/>
          <w:b/>
          <w:bCs/>
          <w:sz w:val="32"/>
          <w:szCs w:val="32"/>
        </w:rPr>
      </w:pPr>
      <w:r>
        <w:rPr>
          <w:rFonts w:hint="eastAsia"/>
          <w:b/>
          <w:bCs/>
          <w:sz w:val="32"/>
          <w:szCs w:val="32"/>
        </w:rPr>
        <w:t>供应商资格声明函</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r>
        <w:rPr>
          <w:rFonts w:hint="eastAsia"/>
        </w:rPr>
        <w:t>致：广东省河源监狱</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r>
        <w:rPr>
          <w:rFonts w:hint="eastAsia"/>
        </w:rPr>
        <w:t>　　　关于贵</w:t>
      </w:r>
      <w:r>
        <w:rPr>
          <w:rFonts w:hint="eastAsia"/>
          <w:lang w:val="en-US" w:eastAsia="zh-CN"/>
        </w:rPr>
        <w:t>单位</w:t>
      </w:r>
      <w:r>
        <w:rPr>
          <w:rFonts w:hint="eastAsia"/>
        </w:rPr>
        <w:t>发布</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sz w:val="21"/>
          <w:szCs w:val="21"/>
          <w:u w:val="single"/>
          <w:lang w:val="en-US" w:eastAsia="zh-CN"/>
        </w:rPr>
        <w:t>广东省河源监狱</w:t>
      </w:r>
      <w:r>
        <w:rPr>
          <w:rFonts w:hint="eastAsia" w:asciiTheme="minorEastAsia" w:hAnsiTheme="minorEastAsia" w:cstheme="minorEastAsia"/>
          <w:sz w:val="21"/>
          <w:szCs w:val="21"/>
          <w:u w:val="single"/>
          <w:lang w:val="en-US" w:eastAsia="zh-CN"/>
        </w:rPr>
        <w:t>日常维修配件</w:t>
      </w:r>
      <w:r>
        <w:rPr>
          <w:rFonts w:hint="eastAsia" w:asciiTheme="minorEastAsia" w:hAnsiTheme="minorEastAsia" w:eastAsiaTheme="minorEastAsia" w:cstheme="minorEastAsia"/>
          <w:sz w:val="21"/>
          <w:szCs w:val="21"/>
          <w:u w:val="single"/>
          <w:lang w:val="en-US" w:eastAsia="zh-CN"/>
        </w:rPr>
        <w:t>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rPr>
        <w:t>的</w:t>
      </w:r>
      <w:r>
        <w:rPr>
          <w:rFonts w:hint="eastAsia"/>
          <w:lang w:val="en-US" w:eastAsia="zh-CN"/>
        </w:rPr>
        <w:t>邀请投标函</w:t>
      </w:r>
      <w:r>
        <w:rPr>
          <w:rFonts w:hint="eastAsia"/>
        </w:rPr>
        <w:t>，本公司（企业）愿意参加</w:t>
      </w:r>
      <w:r>
        <w:rPr>
          <w:rFonts w:hint="eastAsia"/>
          <w:lang w:eastAsia="zh-CN"/>
        </w:rPr>
        <w:t>比价</w:t>
      </w:r>
      <w:r>
        <w:rPr>
          <w:rFonts w:hint="eastAsia"/>
        </w:rPr>
        <w:t>，并声明：</w:t>
      </w:r>
    </w:p>
    <w:p>
      <w:pPr>
        <w:pageBreakBefore w:val="0"/>
        <w:kinsoku/>
        <w:wordWrap/>
        <w:overflowPunct/>
        <w:topLinePunct w:val="0"/>
        <w:bidi w:val="0"/>
        <w:spacing w:line="340" w:lineRule="exact"/>
        <w:rPr>
          <w:rFonts w:hint="eastAsia"/>
        </w:rPr>
      </w:pPr>
      <w:r>
        <w:rPr>
          <w:rFonts w:hint="eastAsia"/>
        </w:rPr>
        <w:t>　　一、本公司（企业）具备《中华人民共和国政府采购法》第二十二条规定的条件：</w:t>
      </w:r>
    </w:p>
    <w:p>
      <w:pPr>
        <w:pageBreakBefore w:val="0"/>
        <w:kinsoku/>
        <w:wordWrap/>
        <w:overflowPunct/>
        <w:topLinePunct w:val="0"/>
        <w:bidi w:val="0"/>
        <w:spacing w:line="340" w:lineRule="exact"/>
        <w:rPr>
          <w:rFonts w:hint="eastAsia"/>
        </w:rPr>
      </w:pPr>
      <w:r>
        <w:rPr>
          <w:rFonts w:hint="eastAsia"/>
        </w:rPr>
        <w:t>　　（一）具有独立承担民事责任的能力；</w:t>
      </w:r>
    </w:p>
    <w:p>
      <w:pPr>
        <w:pageBreakBefore w:val="0"/>
        <w:kinsoku/>
        <w:wordWrap/>
        <w:overflowPunct/>
        <w:topLinePunct w:val="0"/>
        <w:bidi w:val="0"/>
        <w:spacing w:line="340" w:lineRule="exact"/>
        <w:rPr>
          <w:rFonts w:hint="eastAsia"/>
        </w:rPr>
      </w:pPr>
      <w:r>
        <w:rPr>
          <w:rFonts w:hint="eastAsia"/>
        </w:rPr>
        <w:t xml:space="preserve">　　（二）具有良好的商业信誉和健全的财务会计制度； </w:t>
      </w:r>
    </w:p>
    <w:p>
      <w:pPr>
        <w:pageBreakBefore w:val="0"/>
        <w:kinsoku/>
        <w:wordWrap/>
        <w:overflowPunct/>
        <w:topLinePunct w:val="0"/>
        <w:bidi w:val="0"/>
        <w:spacing w:line="340" w:lineRule="exact"/>
        <w:rPr>
          <w:rFonts w:hint="eastAsia"/>
        </w:rPr>
      </w:pPr>
      <w:r>
        <w:rPr>
          <w:rFonts w:hint="eastAsia"/>
        </w:rPr>
        <w:t>　　（三）具有履行合同所必需的设备和专业技术能力；</w:t>
      </w:r>
    </w:p>
    <w:p>
      <w:pPr>
        <w:pageBreakBefore w:val="0"/>
        <w:kinsoku/>
        <w:wordWrap/>
        <w:overflowPunct/>
        <w:topLinePunct w:val="0"/>
        <w:bidi w:val="0"/>
        <w:spacing w:line="340" w:lineRule="exact"/>
        <w:rPr>
          <w:rFonts w:hint="eastAsia"/>
        </w:rPr>
      </w:pPr>
      <w:r>
        <w:rPr>
          <w:rFonts w:hint="eastAsia"/>
        </w:rPr>
        <w:t>　　（四）有依法缴纳税收和社会保障资金的良好记录；</w:t>
      </w:r>
    </w:p>
    <w:p>
      <w:pPr>
        <w:pageBreakBefore w:val="0"/>
        <w:kinsoku/>
        <w:wordWrap/>
        <w:overflowPunct/>
        <w:topLinePunct w:val="0"/>
        <w:bidi w:val="0"/>
        <w:spacing w:line="340" w:lineRule="exact"/>
        <w:rPr>
          <w:rFonts w:hint="eastAsia"/>
        </w:rPr>
      </w:pPr>
      <w:r>
        <w:rPr>
          <w:rFonts w:hint="eastAsia"/>
        </w:rPr>
        <w:t>　　（五）参加政府采购活动前三年内，在经营活动中没有重大违法记录；</w:t>
      </w:r>
    </w:p>
    <w:p>
      <w:pPr>
        <w:pageBreakBefore w:val="0"/>
        <w:kinsoku/>
        <w:wordWrap/>
        <w:overflowPunct/>
        <w:topLinePunct w:val="0"/>
        <w:bidi w:val="0"/>
        <w:spacing w:line="340" w:lineRule="exact"/>
        <w:rPr>
          <w:rFonts w:hint="eastAsia"/>
        </w:rPr>
      </w:pPr>
      <w:r>
        <w:rPr>
          <w:rFonts w:hint="eastAsia"/>
        </w:rPr>
        <w:t>　　（六）法律、行政法规规定的其他条件。</w:t>
      </w:r>
    </w:p>
    <w:p>
      <w:pPr>
        <w:pageBreakBefore w:val="0"/>
        <w:kinsoku/>
        <w:wordWrap/>
        <w:overflowPunct/>
        <w:topLinePunct w:val="0"/>
        <w:bidi w:val="0"/>
        <w:spacing w:line="340" w:lineRule="exact"/>
        <w:rPr>
          <w:rFonts w:hint="eastAsia"/>
        </w:rPr>
      </w:pPr>
      <w:r>
        <w:rPr>
          <w:rFonts w:hint="eastAsia"/>
        </w:rPr>
        <w:t>　　　二、本公司具有本次采购项目服务能力。</w:t>
      </w:r>
    </w:p>
    <w:p>
      <w:pPr>
        <w:pageBreakBefore w:val="0"/>
        <w:kinsoku/>
        <w:wordWrap/>
        <w:overflowPunct/>
        <w:topLinePunct w:val="0"/>
        <w:bidi w:val="0"/>
        <w:spacing w:line="340" w:lineRule="exact"/>
        <w:rPr>
          <w:rFonts w:hint="eastAsia"/>
        </w:rPr>
      </w:pPr>
      <w:r>
        <w:rPr>
          <w:rFonts w:hint="eastAsia"/>
        </w:rPr>
        <w:t>　　　三、本公司有固定的经营场所，信誉良好、售后维护服务好，并且在经营活动中无严重违法记录。</w:t>
      </w:r>
    </w:p>
    <w:p>
      <w:pPr>
        <w:pageBreakBefore w:val="0"/>
        <w:kinsoku/>
        <w:wordWrap/>
        <w:overflowPunct/>
        <w:topLinePunct w:val="0"/>
        <w:bidi w:val="0"/>
        <w:spacing w:line="340" w:lineRule="exact"/>
        <w:rPr>
          <w:rFonts w:hint="eastAsia"/>
        </w:rPr>
      </w:pPr>
      <w:r>
        <w:rPr>
          <w:rFonts w:hint="eastAsia"/>
        </w:rPr>
        <w:t>　　　本公司（企业）承诺在本次采购活动中，如有违法、违规、弄虚作假行为，所造成的损失、不良后果及法律责任，一律由我公司（企业）承担。</w:t>
      </w:r>
    </w:p>
    <w:p>
      <w:pPr>
        <w:pageBreakBefore w:val="0"/>
        <w:kinsoku/>
        <w:wordWrap/>
        <w:overflowPunct/>
        <w:topLinePunct w:val="0"/>
        <w:bidi w:val="0"/>
        <w:spacing w:line="340" w:lineRule="exact"/>
        <w:rPr>
          <w:rFonts w:hint="eastAsia"/>
        </w:rPr>
      </w:pPr>
      <w:r>
        <w:rPr>
          <w:rFonts w:hint="eastAsia"/>
        </w:rPr>
        <w:t>　　特此声明！</w:t>
      </w:r>
    </w:p>
    <w:p>
      <w:pPr>
        <w:pageBreakBefore w:val="0"/>
        <w:kinsoku/>
        <w:wordWrap/>
        <w:overflowPunct/>
        <w:topLinePunct w:val="0"/>
        <w:bidi w:val="0"/>
        <w:spacing w:line="340" w:lineRule="exact"/>
        <w:rPr>
          <w:rFonts w:hint="eastAsia"/>
        </w:rPr>
      </w:pPr>
      <w:r>
        <w:rPr>
          <w:rFonts w:hint="eastAsia"/>
        </w:rPr>
        <w:t>　　备注：</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1</w:t>
      </w:r>
      <w:r>
        <w:rPr>
          <w:rFonts w:hint="eastAsia"/>
          <w:lang w:eastAsia="zh-CN"/>
        </w:rPr>
        <w:t>）</w:t>
      </w:r>
      <w:r>
        <w:rPr>
          <w:rFonts w:hint="eastAsia"/>
        </w:rPr>
        <w:t>本声明函必须提供且内容不得擅自删改，否则视为响应无效。</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2</w:t>
      </w:r>
      <w:r>
        <w:rPr>
          <w:rFonts w:hint="eastAsia"/>
          <w:lang w:eastAsia="zh-CN"/>
        </w:rPr>
        <w:t>）</w:t>
      </w:r>
      <w:r>
        <w:rPr>
          <w:rFonts w:hint="eastAsia"/>
        </w:rPr>
        <w:t>本声明函如有虚假或与事实不符的，作无效报价处理。</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ind w:left="0" w:leftChars="0" w:firstLine="418" w:firstLineChars="192"/>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p>
    <w:p>
      <w:pPr>
        <w:pageBreakBefore w:val="0"/>
        <w:kinsoku/>
        <w:wordWrap/>
        <w:overflowPunct/>
        <w:topLinePunct w:val="0"/>
        <w:bidi w:val="0"/>
        <w:spacing w:beforeLines="50" w:line="340" w:lineRule="exact"/>
        <w:ind w:left="0" w:leftChars="0" w:firstLine="403" w:firstLineChars="19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p>
      <w:pPr>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rPr>
          <w:rFonts w:hint="eastAsia"/>
        </w:rPr>
      </w:pPr>
      <w:r>
        <w:rPr>
          <w:rFonts w:hint="eastAsia"/>
        </w:rPr>
        <w:t xml:space="preserve">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3.营业执照（副本）（复印件加盖公章）</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同志，现任我单位</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（职务），为法定代表人/负责人，特此证明。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附：</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法定代表人/负责人性别：         年龄：           身份证号码：</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营业执照号码：</w:t>
      </w:r>
    </w:p>
    <w:p>
      <w:pPr>
        <w:pageBreakBefore w:val="0"/>
        <w:tabs>
          <w:tab w:val="left" w:pos="4182"/>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主营：</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兼营：</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有效日期：至               签发日期：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单位（盖</w:t>
      </w:r>
      <w:r>
        <w:rPr>
          <w:rFonts w:hint="eastAsia" w:asciiTheme="minorEastAsia" w:hAnsiTheme="minorEastAsia" w:cstheme="minorEastAsia"/>
          <w:color w:val="000000" w:themeColor="text1"/>
          <w:sz w:val="21"/>
          <w:szCs w:val="21"/>
          <w:lang w:val="en-US" w:eastAsia="zh-CN"/>
          <w14:textFill>
            <w14:solidFill>
              <w14:schemeClr w14:val="tx1"/>
            </w14:solidFill>
          </w14:textFill>
        </w:rPr>
        <w:t>公</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章）：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说明：1</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法定代表人/负责人为企业事业单位、国家机关、社会团体的主要行政负责人。</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内容必须填写真实、清楚、涂改无效，不得转让、买卖。</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将此证明书提交对方作为合同附件或凭证。</w:t>
      </w:r>
    </w:p>
    <w:p>
      <w:pPr>
        <w:pageBreakBefore w:val="0"/>
        <w:kinsoku/>
        <w:wordWrap/>
        <w:overflowPunct/>
        <w:topLinePunct w:val="0"/>
        <w:bidi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1"/>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1"/>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1"/>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1"/>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2849245</wp:posOffset>
                </wp:positionH>
                <wp:positionV relativeFrom="paragraph">
                  <wp:posOffset>200025</wp:posOffset>
                </wp:positionV>
                <wp:extent cx="2333625" cy="1584325"/>
                <wp:effectExtent l="4445" t="4445" r="5080" b="11430"/>
                <wp:wrapNone/>
                <wp:docPr id="6"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24.35pt;margin-top:15.75pt;height:124.75pt;width:183.75pt;z-index:251651072;mso-width-relative:page;mso-height-relative:page;" fillcolor="#FFFFFF" filled="t" stroked="t" coordsize="21600,21600" o:gfxdata="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00LwtgA&#10;AAAKAQAADwAAAAAAAAABACAAAAAiAAAAZHJzL2Rvd25yZXYueG1sUEsBAhQAFAAAAAgAh07iQO62&#10;u/4fAgAAVAQAAA4AAAAAAAAAAQAgAAAAJw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-61595</wp:posOffset>
                </wp:positionH>
                <wp:positionV relativeFrom="paragraph">
                  <wp:posOffset>93345</wp:posOffset>
                </wp:positionV>
                <wp:extent cx="2333625" cy="1584325"/>
                <wp:effectExtent l="4445" t="4445" r="5080" b="11430"/>
                <wp:wrapNone/>
                <wp:docPr id="5"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4.85pt;margin-top:7.35pt;height:124.75pt;width:183.75pt;z-index:251651072;mso-width-relative:page;mso-height-relative:page;" fillcolor="#FFFFFF" filled="t" stroked="t" coordsize="21600,21600" o:gfxdata="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MAL9tkA&#10;AAAJAQAADwAAAAAAAAABACAAAAAiAAAAZHJzL2Rvd25yZXYueG1sUEsBAhQAFAAAAAgAh07iQBAB&#10;yC4eAgAAVAQAAA4AAAAAAAAAAQAgAAAAKA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．法定代表人/负责人授权书（若</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代表非法定代表人/负责人时适用）</w:t>
      </w:r>
    </w:p>
    <w:p>
      <w:pPr>
        <w:pStyle w:val="10"/>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0"/>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法定代表人/负责人授权书</w:t>
      </w:r>
    </w:p>
    <w:p>
      <w:pPr>
        <w:pStyle w:val="10"/>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0"/>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致： 广东省</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河源监狱</w:t>
      </w:r>
    </w:p>
    <w:p>
      <w:pPr>
        <w:pStyle w:val="10"/>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（国家或地区）的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名称）的在下面签字的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（法定代表人/负责人姓名、职务）代表本公司授权在下面签字的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（被授权人的姓名、职务）为本公司的合法代表人，就“</w:t>
      </w:r>
      <w:r>
        <w:rPr>
          <w:rFonts w:hint="eastAsia" w:asciiTheme="minorEastAsia" w:hAnsiTheme="minorEastAsia" w:cstheme="minorEastAsia"/>
          <w:sz w:val="21"/>
          <w:szCs w:val="21"/>
          <w:u w:val="single"/>
          <w:lang w:val="en-US" w:eastAsia="zh-CN"/>
        </w:rPr>
        <w:t>广东省河源监狱日常维修配件项目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”的报价和合同执行，以我方的名义处理一切与之有关的事宜。</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本授权书于       年    月    日签字生效，特此声明。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名称</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单位盖</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公章）</w:t>
      </w:r>
      <w:r>
        <w:rPr>
          <w:rFonts w:hint="eastAsia" w:asciiTheme="minorEastAsia" w:hAnsiTheme="minorEastAsia" w:cstheme="minorEastAsia"/>
          <w:bCs/>
          <w:color w:val="000000" w:themeColor="text1"/>
          <w:sz w:val="21"/>
          <w:szCs w:val="21"/>
          <w:lang w:eastAsia="zh-CN"/>
          <w14:textFill>
            <w14:solidFill>
              <w14:schemeClr w14:val="tx1"/>
            </w14:solidFill>
          </w14:textFill>
        </w:rPr>
        <w:t>：</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地  址：</w:t>
      </w: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法定代表人/负责人（签字或盖章）：</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ageBreakBefore w:val="0"/>
        <w:kinsoku/>
        <w:wordWrap/>
        <w:overflowPunct/>
        <w:topLinePunct w:val="0"/>
        <w:bidi w:val="0"/>
        <w:spacing w:line="340" w:lineRule="exact"/>
        <w:ind w:left="11" w:leftChars="0" w:firstLine="407" w:firstLineChars="163"/>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pacing w:val="20"/>
          <w:sz w:val="21"/>
          <w:szCs w:val="21"/>
          <w14:textFill>
            <w14:solidFill>
              <w14:schemeClr w14:val="tx1"/>
            </w14:solidFill>
          </w14:textFill>
        </w:rPr>
        <w:t>被授权人（签字）</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Style w:val="21"/>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21"/>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21"/>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outlineLvl w:val="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3184525</wp:posOffset>
                </wp:positionH>
                <wp:positionV relativeFrom="paragraph">
                  <wp:posOffset>513715</wp:posOffset>
                </wp:positionV>
                <wp:extent cx="2333625" cy="1584325"/>
                <wp:effectExtent l="4445" t="4445" r="5080" b="11430"/>
                <wp:wrapNone/>
                <wp:docPr id="7"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50.75pt;margin-top:40.45pt;height:124.75pt;width:183.75pt;z-index:251651072;mso-width-relative:page;mso-height-relative:page;" fillcolor="#FFFFFF" filled="t" stroked="t" coordsize="21600,21600" o:gfxdata="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1nBDw1wAA&#10;AAoBAAAPAAAAAAAAAAEAIAAAACIAAABkcnMvZG93bnJldi54bWxQSwECFAAUAAAACACHTuJAeya6&#10;Bx8CAABUBAAADgAAAAAAAAABACAAAAAmAQAAZHJzL2Uyb0RvYy54bWxQSwUGAAAAAAYABgBZAQAA&#10;tw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2096" behindDoc="0" locked="0" layoutInCell="1" allowOverlap="1">
                <wp:simplePos x="0" y="0"/>
                <wp:positionH relativeFrom="column">
                  <wp:posOffset>111125</wp:posOffset>
                </wp:positionH>
                <wp:positionV relativeFrom="paragraph">
                  <wp:posOffset>584200</wp:posOffset>
                </wp:positionV>
                <wp:extent cx="2333625" cy="1584325"/>
                <wp:effectExtent l="4445" t="4445" r="5080" b="11430"/>
                <wp:wrapNone/>
                <wp:docPr id="4" name="AutoShape 12"/>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2" o:spid="_x0000_s1026" o:spt="176" type="#_x0000_t176" style="position:absolute;left:0pt;margin-left:8.75pt;margin-top:46pt;height:124.75pt;width:183.75pt;z-index:251652096;mso-width-relative:page;mso-height-relative:page;" fillcolor="#FFFFFF" filled="t" stroked="t" coordsize="21600,21600" o:gfxdata="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05/JB1QAAAAkB&#10;AAAPAAAAAAAAAAEAIAAAACIAAABkcnMvZG93bnJldi54bWxQSwECFAAUAAAACACHTuJAarElmB4C&#10;AABUBAAADgAAAAAAAAABACAAAAAkAQAAZHJzL2Uyb0RvYy54bWxQSwUGAAAAAAYABgBZAQAAtAUA&#10;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p>
    <w:p>
      <w:pPr>
        <w:pageBreakBefore w:val="0"/>
        <w:numPr>
          <w:ilvl w:val="0"/>
          <w:numId w:val="4"/>
        </w:numPr>
        <w:kinsoku/>
        <w:wordWrap/>
        <w:overflowPunct/>
        <w:topLinePunct w:val="0"/>
        <w:bidi w:val="0"/>
        <w:snapToGrid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报价部分</w:t>
      </w:r>
    </w:p>
    <w:p>
      <w:pPr>
        <w:pStyle w:val="10"/>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pStyle w:val="10"/>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报价表</w:t>
      </w:r>
    </w:p>
    <w:p>
      <w:pPr>
        <w:pStyle w:val="10"/>
        <w:pageBreakBefore w:val="0"/>
        <w:kinsoku/>
        <w:wordWrap/>
        <w:overflowPunct/>
        <w:topLinePunct w:val="0"/>
        <w:bidi w:val="0"/>
        <w:spacing w:line="340" w:lineRule="exact"/>
        <w:ind w:left="10" w:leftChars="0" w:hanging="10" w:hangingChars="5"/>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[价格单位：（人民币）元]</w:t>
      </w:r>
    </w:p>
    <w:p>
      <w:pPr>
        <w:pStyle w:val="10"/>
        <w:pageBreakBefore w:val="0"/>
        <w:kinsoku/>
        <w:wordWrap/>
        <w:overflowPunct/>
        <w:topLinePunct w:val="0"/>
        <w:bidi w:val="0"/>
        <w:spacing w:line="340" w:lineRule="exact"/>
        <w:ind w:left="10" w:leftChars="0" w:hanging="10" w:hangingChars="5"/>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bl>
      <w:tblPr>
        <w:tblStyle w:val="20"/>
        <w:tblW w:w="83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1085"/>
        <w:gridCol w:w="1212"/>
        <w:gridCol w:w="2987"/>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jc w:val="center"/>
        </w:trPr>
        <w:tc>
          <w:tcPr>
            <w:tcW w:w="1719" w:type="dxa"/>
            <w:vAlign w:val="center"/>
          </w:tcPr>
          <w:p>
            <w:pPr>
              <w:pStyle w:val="10"/>
              <w:pageBreakBefore w:val="0"/>
              <w:kinsoku/>
              <w:wordWrap/>
              <w:overflowPunct/>
              <w:topLinePunct w:val="0"/>
              <w:bidi w:val="0"/>
              <w:spacing w:line="340" w:lineRule="exact"/>
              <w:jc w:val="center"/>
              <w:rPr>
                <w:rFonts w:hint="default"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项目名称</w:t>
            </w:r>
          </w:p>
        </w:tc>
        <w:tc>
          <w:tcPr>
            <w:tcW w:w="1085" w:type="dxa"/>
            <w:vAlign w:val="center"/>
          </w:tcPr>
          <w:p>
            <w:pPr>
              <w:pStyle w:val="10"/>
              <w:pageBreakBefore w:val="0"/>
              <w:kinsoku/>
              <w:wordWrap/>
              <w:overflowPunct/>
              <w:topLinePunct w:val="0"/>
              <w:bidi w:val="0"/>
              <w:spacing w:line="340" w:lineRule="exact"/>
              <w:jc w:val="center"/>
              <w:rPr>
                <w:rFonts w:hint="default"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单位</w:t>
            </w:r>
          </w:p>
        </w:tc>
        <w:tc>
          <w:tcPr>
            <w:tcW w:w="1212" w:type="dxa"/>
            <w:vAlign w:val="center"/>
          </w:tcPr>
          <w:p>
            <w:pPr>
              <w:pStyle w:val="10"/>
              <w:pageBreakBefore w:val="0"/>
              <w:kinsoku/>
              <w:wordWrap/>
              <w:overflowPunct/>
              <w:topLinePunct w:val="0"/>
              <w:bidi w:val="0"/>
              <w:spacing w:line="340" w:lineRule="exact"/>
              <w:jc w:val="center"/>
              <w:rPr>
                <w:rFonts w:hint="default"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数量</w:t>
            </w:r>
          </w:p>
        </w:tc>
        <w:tc>
          <w:tcPr>
            <w:tcW w:w="2987" w:type="dxa"/>
            <w:vAlign w:val="center"/>
          </w:tcPr>
          <w:p>
            <w:pPr>
              <w:pStyle w:val="10"/>
              <w:pageBreakBefore w:val="0"/>
              <w:kinsoku/>
              <w:wordWrap/>
              <w:overflowPunct/>
              <w:topLinePunct w:val="0"/>
              <w:bidi w:val="0"/>
              <w:spacing w:line="340" w:lineRule="exact"/>
              <w:jc w:val="center"/>
              <w:rPr>
                <w:rFonts w:hint="default"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highlight w:val="none"/>
                <w:vertAlign w:val="baseline"/>
                <w:lang w:val="en-US" w:eastAsia="zh-CN"/>
                <w14:textFill>
                  <w14:solidFill>
                    <w14:schemeClr w14:val="tx1"/>
                  </w14:solidFill>
                </w14:textFill>
              </w:rPr>
              <w:t>单价下浮率报价（%）</w:t>
            </w:r>
          </w:p>
        </w:tc>
        <w:tc>
          <w:tcPr>
            <w:tcW w:w="1356" w:type="dxa"/>
            <w:vAlign w:val="center"/>
          </w:tcPr>
          <w:p>
            <w:pPr>
              <w:pStyle w:val="10"/>
              <w:pageBreakBefore w:val="0"/>
              <w:kinsoku/>
              <w:wordWrap/>
              <w:overflowPunct/>
              <w:topLinePunct w:val="0"/>
              <w:bidi w:val="0"/>
              <w:spacing w:line="340" w:lineRule="exact"/>
              <w:jc w:val="center"/>
              <w:rPr>
                <w:rFonts w:hint="default"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jc w:val="center"/>
        </w:trPr>
        <w:tc>
          <w:tcPr>
            <w:tcW w:w="1719" w:type="dxa"/>
            <w:vAlign w:val="center"/>
          </w:tcPr>
          <w:p>
            <w:pPr>
              <w:pStyle w:val="10"/>
              <w:pageBreakBefore w:val="0"/>
              <w:kinsoku/>
              <w:wordWrap/>
              <w:overflowPunct/>
              <w:topLinePunct w:val="0"/>
              <w:bidi w:val="0"/>
              <w:spacing w:line="340" w:lineRule="exact"/>
              <w:jc w:val="both"/>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r>
              <w:rPr>
                <w:rFonts w:hint="eastAsia" w:asciiTheme="minorEastAsia" w:hAnsiTheme="minorEastAsia" w:cstheme="minorEastAsia"/>
                <w:sz w:val="28"/>
                <w:szCs w:val="28"/>
                <w:u w:val="none"/>
                <w:lang w:val="en-US" w:eastAsia="zh-CN"/>
              </w:rPr>
              <w:t>广东省河源监狱日常维修配件项目</w:t>
            </w:r>
          </w:p>
        </w:tc>
        <w:tc>
          <w:tcPr>
            <w:tcW w:w="1085" w:type="dxa"/>
            <w:vAlign w:val="center"/>
          </w:tcPr>
          <w:p>
            <w:pPr>
              <w:pStyle w:val="10"/>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批</w:t>
            </w:r>
          </w:p>
        </w:tc>
        <w:tc>
          <w:tcPr>
            <w:tcW w:w="1212" w:type="dxa"/>
            <w:vAlign w:val="center"/>
          </w:tcPr>
          <w:p>
            <w:pPr>
              <w:pStyle w:val="10"/>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1</w:t>
            </w:r>
          </w:p>
        </w:tc>
        <w:tc>
          <w:tcPr>
            <w:tcW w:w="2987" w:type="dxa"/>
            <w:vAlign w:val="center"/>
          </w:tcPr>
          <w:p>
            <w:pPr>
              <w:pStyle w:val="10"/>
              <w:pageBreakBefore w:val="0"/>
              <w:kinsoku/>
              <w:wordWrap/>
              <w:overflowPunct/>
              <w:topLinePunct w:val="0"/>
              <w:bidi w:val="0"/>
              <w:spacing w:line="340" w:lineRule="exact"/>
              <w:jc w:val="cente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pPr>
          </w:p>
          <w:p>
            <w:pPr>
              <w:pStyle w:val="10"/>
              <w:pageBreakBefore w:val="0"/>
              <w:kinsoku/>
              <w:wordWrap/>
              <w:overflowPunct/>
              <w:topLinePunct w:val="0"/>
              <w:bidi w:val="0"/>
              <w:spacing w:line="340" w:lineRule="exact"/>
              <w:jc w:val="both"/>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小写：</w:t>
            </w:r>
          </w:p>
          <w:p>
            <w:pPr>
              <w:pStyle w:val="10"/>
              <w:pageBreakBefore w:val="0"/>
              <w:kinsoku/>
              <w:wordWrap/>
              <w:overflowPunct/>
              <w:topLinePunct w:val="0"/>
              <w:bidi w:val="0"/>
              <w:spacing w:line="340" w:lineRule="exact"/>
              <w:jc w:val="cente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pPr>
          </w:p>
          <w:p>
            <w:pPr>
              <w:pStyle w:val="10"/>
              <w:pageBreakBefore w:val="0"/>
              <w:kinsoku/>
              <w:wordWrap/>
              <w:overflowPunct/>
              <w:topLinePunct w:val="0"/>
              <w:bidi w:val="0"/>
              <w:spacing w:line="340" w:lineRule="exact"/>
              <w:jc w:val="both"/>
              <w:rPr>
                <w:rFonts w:hint="default"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大写：百分之</w:t>
            </w:r>
          </w:p>
          <w:p>
            <w:pPr>
              <w:pStyle w:val="10"/>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p>
          <w:p>
            <w:pPr>
              <w:pStyle w:val="10"/>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p>
        </w:tc>
        <w:tc>
          <w:tcPr>
            <w:tcW w:w="1356" w:type="dxa"/>
            <w:vAlign w:val="center"/>
          </w:tcPr>
          <w:p>
            <w:pPr>
              <w:pStyle w:val="10"/>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p>
        </w:tc>
      </w:tr>
    </w:tbl>
    <w:p>
      <w:pPr>
        <w:pageBreakBefore w:val="0"/>
        <w:kinsoku/>
        <w:wordWrap/>
        <w:overflowPunct/>
        <w:topLinePunct w:val="0"/>
        <w:bidi w:val="0"/>
        <w:spacing w:line="340" w:lineRule="exact"/>
        <w:rPr>
          <w:rFonts w:hint="eastAsia" w:ascii="宋体" w:hAnsi="宋体"/>
          <w:b w:val="0"/>
          <w:bCs/>
          <w:spacing w:val="4"/>
          <w:sz w:val="21"/>
          <w:szCs w:val="21"/>
        </w:rPr>
      </w:pPr>
    </w:p>
    <w:p>
      <w:pPr>
        <w:pageBreakBefore w:val="0"/>
        <w:kinsoku/>
        <w:wordWrap/>
        <w:overflowPunct/>
        <w:topLinePunct w:val="0"/>
        <w:bidi w:val="0"/>
        <w:spacing w:line="340" w:lineRule="exact"/>
        <w:rPr>
          <w:rFonts w:ascii="宋体" w:hAnsi="宋体"/>
          <w:b w:val="0"/>
          <w:bCs/>
          <w:spacing w:val="4"/>
          <w:sz w:val="21"/>
          <w:szCs w:val="21"/>
        </w:rPr>
      </w:pPr>
      <w:r>
        <w:rPr>
          <w:rFonts w:hint="eastAsia" w:ascii="宋体" w:hAnsi="宋体"/>
          <w:b w:val="0"/>
          <w:bCs/>
          <w:spacing w:val="4"/>
          <w:sz w:val="21"/>
          <w:szCs w:val="21"/>
        </w:rPr>
        <w:t>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20" w:lineRule="atLeast"/>
        <w:ind w:left="0" w:leftChars="0" w:firstLine="418" w:firstLineChars="192"/>
        <w:jc w:val="left"/>
        <w:textAlignment w:val="auto"/>
        <w:rPr>
          <w:rFonts w:ascii="宋体" w:hAnsi="宋体"/>
          <w:b w:val="0"/>
          <w:bCs/>
          <w:color w:val="auto"/>
          <w:sz w:val="21"/>
          <w:szCs w:val="21"/>
          <w:u w:val="none"/>
        </w:rPr>
      </w:pPr>
      <w:r>
        <w:rPr>
          <w:rFonts w:hint="eastAsia" w:ascii="宋体" w:hAnsi="宋体"/>
          <w:b w:val="0"/>
          <w:bCs/>
          <w:color w:val="auto"/>
          <w:spacing w:val="4"/>
          <w:sz w:val="21"/>
          <w:szCs w:val="21"/>
          <w:u w:val="none"/>
          <w:lang w:val="en-US" w:eastAsia="zh-CN"/>
        </w:rPr>
        <w:t>1.供</w:t>
      </w:r>
      <w:r>
        <w:rPr>
          <w:rFonts w:hint="eastAsia" w:ascii="宋体" w:hAnsi="宋体"/>
          <w:b w:val="0"/>
          <w:bCs/>
          <w:color w:val="auto"/>
          <w:spacing w:val="4"/>
          <w:sz w:val="21"/>
          <w:szCs w:val="21"/>
          <w:u w:val="none"/>
        </w:rPr>
        <w:t>应商必须按报价表的格式填写，不得增加或删除表格内容。除单价、金额或项目要求填写的内容外，不得擅自改动报价表内容，否则将有可能影响成交结果，不推荐为成交候选人；</w:t>
      </w:r>
    </w:p>
    <w:p>
      <w:pPr>
        <w:pStyle w:val="16"/>
        <w:numPr>
          <w:ilvl w:val="0"/>
          <w:numId w:val="0"/>
        </w:numPr>
        <w:shd w:val="clear" w:color="auto" w:fill="FFFFFF"/>
        <w:spacing w:before="0" w:beforeAutospacing="0" w:after="0" w:afterAutospacing="0" w:line="276" w:lineRule="auto"/>
        <w:ind w:left="0" w:leftChars="0" w:firstLine="420" w:firstLineChars="200"/>
        <w:rPr>
          <w:rFonts w:hint="eastAsia" w:asciiTheme="minorEastAsia" w:hAnsiTheme="minorEastAsia" w:eastAsiaTheme="minorEastAsia"/>
          <w:b w:val="0"/>
          <w:bCs/>
          <w:color w:val="auto"/>
          <w:sz w:val="21"/>
          <w:szCs w:val="21"/>
          <w:u w:val="none"/>
          <w:lang w:val="en-US" w:eastAsia="zh-CN"/>
        </w:rPr>
      </w:pPr>
      <w:r>
        <w:rPr>
          <w:rFonts w:hint="eastAsia" w:asciiTheme="minorEastAsia" w:hAnsiTheme="minorEastAsia"/>
          <w:b w:val="0"/>
          <w:bCs/>
          <w:color w:val="auto"/>
          <w:sz w:val="21"/>
          <w:szCs w:val="21"/>
          <w:highlight w:val="none"/>
          <w:u w:val="none"/>
          <w:lang w:val="en-US" w:eastAsia="zh-CN"/>
        </w:rPr>
        <w:t>2.</w:t>
      </w:r>
      <w:r>
        <w:rPr>
          <w:rFonts w:hint="eastAsia" w:asciiTheme="minorEastAsia" w:hAnsiTheme="minorEastAsia" w:eastAsiaTheme="minorEastAsia"/>
          <w:b w:val="0"/>
          <w:bCs/>
          <w:color w:val="auto"/>
          <w:sz w:val="21"/>
          <w:szCs w:val="21"/>
          <w:u w:val="none"/>
        </w:rPr>
        <w:t>所有价格均系用人民币表示，单位为元，均</w:t>
      </w:r>
      <w:r>
        <w:rPr>
          <w:rFonts w:hint="eastAsia" w:ascii="宋体" w:hAnsi="宋体"/>
          <w:b w:val="0"/>
          <w:bCs/>
          <w:spacing w:val="4"/>
          <w:sz w:val="21"/>
          <w:szCs w:val="21"/>
          <w:u w:val="none"/>
        </w:rPr>
        <w:t>包含产品价格、</w:t>
      </w:r>
      <w:r>
        <w:rPr>
          <w:rFonts w:hint="eastAsia" w:ascii="宋体" w:hAnsi="宋体"/>
          <w:b w:val="0"/>
          <w:bCs/>
          <w:spacing w:val="4"/>
          <w:sz w:val="21"/>
          <w:szCs w:val="21"/>
          <w:u w:val="none"/>
          <w:lang w:val="en-US" w:eastAsia="zh-CN"/>
        </w:rPr>
        <w:t>分装、</w:t>
      </w:r>
      <w:r>
        <w:rPr>
          <w:rFonts w:hint="eastAsia" w:ascii="宋体" w:hAnsi="宋体"/>
          <w:b w:val="0"/>
          <w:bCs/>
          <w:spacing w:val="4"/>
          <w:sz w:val="21"/>
          <w:szCs w:val="21"/>
          <w:u w:val="none"/>
          <w:lang w:eastAsia="zh-CN"/>
        </w:rPr>
        <w:t>运输、</w:t>
      </w:r>
      <w:r>
        <w:rPr>
          <w:rFonts w:hint="eastAsia" w:ascii="宋体" w:hAnsi="宋体"/>
          <w:b w:val="0"/>
          <w:bCs/>
          <w:spacing w:val="4"/>
          <w:sz w:val="21"/>
          <w:szCs w:val="21"/>
          <w:u w:val="none"/>
          <w:lang w:val="en-US" w:eastAsia="zh-CN"/>
        </w:rPr>
        <w:t>装卸、</w:t>
      </w:r>
      <w:r>
        <w:rPr>
          <w:rFonts w:hint="eastAsia" w:ascii="宋体" w:hAnsi="宋体"/>
          <w:b w:val="0"/>
          <w:bCs/>
          <w:spacing w:val="4"/>
          <w:sz w:val="21"/>
          <w:szCs w:val="21"/>
          <w:u w:val="none"/>
        </w:rPr>
        <w:t>税金等一切费用</w:t>
      </w:r>
      <w:r>
        <w:rPr>
          <w:rFonts w:hint="eastAsia" w:ascii="宋体" w:hAnsi="宋体"/>
          <w:b w:val="0"/>
          <w:bCs/>
          <w:spacing w:val="4"/>
          <w:sz w:val="21"/>
          <w:szCs w:val="21"/>
          <w:u w:val="none"/>
          <w:lang w:val="en-US" w:eastAsia="zh-CN"/>
        </w:rPr>
        <w:t>；</w:t>
      </w:r>
    </w:p>
    <w:p>
      <w:pPr>
        <w:widowControl/>
        <w:numPr>
          <w:ilvl w:val="0"/>
          <w:numId w:val="0"/>
        </w:numPr>
        <w:shd w:val="clear" w:color="auto" w:fill="FFFFFF"/>
        <w:spacing w:line="276" w:lineRule="auto"/>
        <w:ind w:left="0" w:leftChars="0" w:firstLine="420" w:firstLineChars="200"/>
        <w:jc w:val="left"/>
        <w:rPr>
          <w:rFonts w:ascii="宋体" w:hAnsi="宋体"/>
          <w:b w:val="0"/>
          <w:bCs/>
          <w:color w:val="auto"/>
          <w:u w:val="none"/>
        </w:rPr>
      </w:pPr>
      <w:r>
        <w:rPr>
          <w:rFonts w:hint="eastAsia" w:ascii="宋体" w:hAnsi="宋体"/>
          <w:b w:val="0"/>
          <w:bCs/>
          <w:color w:val="auto"/>
          <w:u w:val="none"/>
          <w:lang w:val="en-US" w:eastAsia="zh-CN"/>
        </w:rPr>
        <w:t>3.</w:t>
      </w:r>
      <w:r>
        <w:rPr>
          <w:rFonts w:ascii="宋体" w:hAnsi="宋体"/>
          <w:b w:val="0"/>
          <w:bCs/>
          <w:color w:val="auto"/>
          <w:u w:val="none"/>
        </w:rPr>
        <w:t>下浮率报价</w:t>
      </w:r>
      <w:r>
        <w:rPr>
          <w:rFonts w:hint="eastAsia" w:ascii="宋体" w:hAnsi="宋体"/>
          <w:b w:val="0"/>
          <w:bCs/>
          <w:color w:val="auto"/>
          <w:u w:val="none"/>
          <w:lang w:val="en-US" w:eastAsia="zh-CN"/>
        </w:rPr>
        <w:t>不得</w:t>
      </w:r>
      <w:r>
        <w:rPr>
          <w:rFonts w:ascii="宋体" w:hAnsi="宋体"/>
          <w:b w:val="0"/>
          <w:bCs/>
          <w:color w:val="auto"/>
          <w:u w:val="none"/>
        </w:rPr>
        <w:t>大于或等于</w:t>
      </w:r>
      <w:r>
        <w:rPr>
          <w:rFonts w:hint="eastAsia" w:ascii="宋体" w:hAnsi="宋体"/>
          <w:b w:val="0"/>
          <w:bCs/>
          <w:color w:val="auto"/>
          <w:u w:val="none"/>
        </w:rPr>
        <w:t>100</w:t>
      </w:r>
      <w:r>
        <w:rPr>
          <w:rFonts w:ascii="宋体" w:hAnsi="宋体"/>
          <w:b w:val="0"/>
          <w:bCs/>
          <w:color w:val="auto"/>
          <w:u w:val="none"/>
        </w:rPr>
        <w:t>%，也</w:t>
      </w:r>
      <w:r>
        <w:rPr>
          <w:rFonts w:hint="eastAsia" w:ascii="宋体" w:hAnsi="宋体"/>
          <w:b w:val="0"/>
          <w:bCs/>
          <w:color w:val="auto"/>
          <w:u w:val="none"/>
          <w:lang w:val="en-US" w:eastAsia="zh-CN"/>
        </w:rPr>
        <w:t>不得</w:t>
      </w:r>
      <w:r>
        <w:rPr>
          <w:rFonts w:ascii="宋体" w:hAnsi="宋体"/>
          <w:b w:val="0"/>
          <w:bCs/>
          <w:color w:val="auto"/>
          <w:u w:val="none"/>
        </w:rPr>
        <w:t>为负数，且是固定唯一值的，否则为无效报价</w:t>
      </w:r>
      <w:r>
        <w:rPr>
          <w:rFonts w:hint="eastAsia" w:ascii="宋体" w:hAnsi="宋体"/>
          <w:b w:val="0"/>
          <w:bCs/>
          <w:color w:val="auto"/>
          <w:u w:val="none"/>
        </w:rPr>
        <w:t>；下浮率</w:t>
      </w:r>
      <w:r>
        <w:rPr>
          <w:rFonts w:hint="eastAsia" w:ascii="宋体" w:hAnsi="宋体"/>
          <w:b w:val="0"/>
          <w:bCs/>
          <w:color w:val="auto"/>
          <w:u w:val="none"/>
          <w:lang w:val="en-US" w:eastAsia="zh-CN"/>
        </w:rPr>
        <w:t>最</w:t>
      </w:r>
      <w:r>
        <w:rPr>
          <w:rFonts w:hint="eastAsia" w:ascii="宋体" w:hAnsi="宋体"/>
          <w:b w:val="0"/>
          <w:bCs/>
          <w:color w:val="auto"/>
          <w:u w:val="none"/>
        </w:rPr>
        <w:t>高的为成交供应商。供应商所报下浮率为成交下浮率，即：</w:t>
      </w:r>
      <w:r>
        <w:rPr>
          <w:rFonts w:hint="eastAsia" w:ascii="宋体" w:hAnsi="宋体"/>
          <w:b/>
          <w:bCs w:val="0"/>
          <w:color w:val="auto"/>
          <w:u w:val="single"/>
        </w:rPr>
        <w:t>合同</w:t>
      </w:r>
      <w:r>
        <w:rPr>
          <w:rFonts w:hint="eastAsia" w:ascii="宋体" w:hAnsi="宋体"/>
          <w:b/>
          <w:bCs w:val="0"/>
          <w:color w:val="auto"/>
          <w:u w:val="single"/>
          <w:lang w:val="en-US" w:eastAsia="zh-CN"/>
        </w:rPr>
        <w:t>成交</w:t>
      </w:r>
      <w:r>
        <w:rPr>
          <w:rFonts w:hint="eastAsia" w:ascii="宋体" w:hAnsi="宋体"/>
          <w:b/>
          <w:bCs w:val="0"/>
          <w:color w:val="auto"/>
          <w:u w:val="single"/>
        </w:rPr>
        <w:t>单价</w:t>
      </w:r>
      <w:r>
        <w:rPr>
          <w:rFonts w:hint="eastAsia" w:ascii="宋体" w:hAnsi="宋体"/>
          <w:b/>
          <w:bCs w:val="0"/>
          <w:color w:val="auto"/>
          <w:u w:val="single"/>
          <w:lang w:val="en-US" w:eastAsia="zh-CN"/>
        </w:rPr>
        <w:t>=单价</w:t>
      </w:r>
      <w:r>
        <w:rPr>
          <w:rFonts w:hint="eastAsia" w:ascii="宋体" w:hAnsi="宋体"/>
          <w:b/>
          <w:bCs w:val="0"/>
          <w:color w:val="auto"/>
          <w:u w:val="single"/>
        </w:rPr>
        <w:t>最高</w:t>
      </w:r>
      <w:r>
        <w:rPr>
          <w:rFonts w:ascii="宋体" w:hAnsi="宋体"/>
          <w:b/>
          <w:bCs w:val="0"/>
          <w:color w:val="auto"/>
          <w:u w:val="single"/>
        </w:rPr>
        <w:t>限价*</w:t>
      </w:r>
      <w:r>
        <w:rPr>
          <w:rFonts w:hint="eastAsia" w:ascii="宋体" w:hAnsi="宋体"/>
          <w:b/>
          <w:bCs w:val="0"/>
          <w:color w:val="auto"/>
          <w:u w:val="single"/>
        </w:rPr>
        <w:t>（1</w:t>
      </w:r>
      <w:r>
        <w:rPr>
          <w:rFonts w:hint="eastAsia" w:ascii="宋体" w:hAnsi="宋体"/>
          <w:b/>
          <w:bCs w:val="0"/>
          <w:color w:val="auto"/>
          <w:u w:val="single"/>
          <w:lang w:val="en-US" w:eastAsia="zh-CN"/>
        </w:rPr>
        <w:t>-单价</w:t>
      </w:r>
      <w:r>
        <w:rPr>
          <w:rFonts w:ascii="宋体" w:hAnsi="宋体"/>
          <w:b/>
          <w:bCs w:val="0"/>
          <w:color w:val="auto"/>
          <w:u w:val="single"/>
        </w:rPr>
        <w:t>下浮率</w:t>
      </w:r>
      <w:r>
        <w:rPr>
          <w:rFonts w:hint="eastAsia" w:ascii="宋体" w:hAnsi="宋体"/>
          <w:b/>
          <w:bCs w:val="0"/>
          <w:color w:val="auto"/>
          <w:u w:val="single"/>
        </w:rPr>
        <w:t>）</w:t>
      </w:r>
      <w:r>
        <w:rPr>
          <w:rFonts w:ascii="宋体" w:hAnsi="宋体"/>
          <w:b w:val="0"/>
          <w:bCs/>
          <w:color w:val="auto"/>
          <w:u w:val="none"/>
        </w:rPr>
        <w:t>；</w:t>
      </w:r>
      <w:r>
        <w:rPr>
          <w:rFonts w:hint="eastAsia" w:asciiTheme="minorEastAsia" w:hAnsiTheme="minorEastAsia" w:eastAsiaTheme="minorEastAsia"/>
          <w:b w:val="0"/>
          <w:bCs/>
          <w:color w:val="auto"/>
          <w:sz w:val="21"/>
          <w:szCs w:val="21"/>
          <w:highlight w:val="none"/>
          <w:u w:val="none"/>
        </w:rPr>
        <w:t>下浮后</w:t>
      </w:r>
      <w:r>
        <w:rPr>
          <w:rFonts w:hint="eastAsia" w:asciiTheme="minorEastAsia" w:hAnsiTheme="minorEastAsia"/>
          <w:b w:val="0"/>
          <w:bCs/>
          <w:color w:val="auto"/>
          <w:sz w:val="21"/>
          <w:szCs w:val="21"/>
          <w:highlight w:val="none"/>
          <w:u w:val="none"/>
          <w:lang w:val="en-US" w:eastAsia="zh-CN"/>
        </w:rPr>
        <w:t>成交</w:t>
      </w:r>
      <w:r>
        <w:rPr>
          <w:rFonts w:hint="eastAsia" w:asciiTheme="minorEastAsia" w:hAnsiTheme="minorEastAsia" w:eastAsiaTheme="minorEastAsia"/>
          <w:b w:val="0"/>
          <w:bCs/>
          <w:color w:val="auto"/>
          <w:sz w:val="21"/>
          <w:szCs w:val="21"/>
          <w:highlight w:val="none"/>
          <w:u w:val="none"/>
        </w:rPr>
        <w:t>单价保留</w:t>
      </w:r>
      <w:r>
        <w:rPr>
          <w:rFonts w:hint="eastAsia" w:asciiTheme="minorEastAsia" w:hAnsiTheme="minorEastAsia"/>
          <w:b w:val="0"/>
          <w:bCs/>
          <w:color w:val="auto"/>
          <w:sz w:val="21"/>
          <w:szCs w:val="21"/>
          <w:highlight w:val="none"/>
          <w:u w:val="none"/>
          <w:lang w:val="en-US" w:eastAsia="zh-CN"/>
        </w:rPr>
        <w:t>两</w:t>
      </w:r>
      <w:r>
        <w:rPr>
          <w:rFonts w:hint="eastAsia" w:asciiTheme="minorEastAsia" w:hAnsiTheme="minorEastAsia" w:eastAsiaTheme="minorEastAsia"/>
          <w:b w:val="0"/>
          <w:bCs/>
          <w:color w:val="auto"/>
          <w:sz w:val="21"/>
          <w:szCs w:val="21"/>
          <w:highlight w:val="none"/>
          <w:u w:val="none"/>
        </w:rPr>
        <w:t>位小数点（四舍五入）；</w:t>
      </w:r>
      <w:r>
        <w:rPr>
          <w:rFonts w:ascii="宋体" w:hAnsi="宋体"/>
          <w:b w:val="0"/>
          <w:bCs/>
          <w:color w:val="auto"/>
          <w:u w:val="none"/>
        </w:rPr>
        <w:t>在本项目合同服务履行期间，该下浮率不作另行调整；</w:t>
      </w:r>
    </w:p>
    <w:p>
      <w:pPr>
        <w:pStyle w:val="16"/>
        <w:numPr>
          <w:ilvl w:val="0"/>
          <w:numId w:val="0"/>
        </w:numPr>
        <w:shd w:val="clear" w:color="auto" w:fill="FFFFFF"/>
        <w:spacing w:before="0" w:beforeAutospacing="0" w:after="0" w:afterAutospacing="0" w:line="276" w:lineRule="auto"/>
        <w:ind w:left="0" w:leftChars="0" w:firstLine="420" w:firstLineChars="200"/>
        <w:rPr>
          <w:rFonts w:hint="eastAsia" w:asciiTheme="minorEastAsia" w:hAnsiTheme="minorEastAsia" w:eastAsiaTheme="minorEastAsia" w:cstheme="minorEastAsia"/>
          <w:b/>
          <w:bCs w:val="0"/>
          <w:color w:val="auto"/>
          <w:sz w:val="21"/>
          <w:szCs w:val="21"/>
          <w:u w:val="single"/>
          <w:lang w:eastAsia="zh-CN"/>
        </w:rPr>
      </w:pPr>
      <w:r>
        <w:rPr>
          <w:rFonts w:hint="eastAsia" w:asciiTheme="minorEastAsia" w:hAnsiTheme="minorEastAsia" w:cstheme="minorEastAsia"/>
          <w:b w:val="0"/>
          <w:bCs/>
          <w:color w:val="auto"/>
          <w:sz w:val="21"/>
          <w:szCs w:val="21"/>
          <w:u w:val="none"/>
          <w:lang w:val="en-US" w:eastAsia="zh-CN"/>
        </w:rPr>
        <w:t>4</w:t>
      </w:r>
      <w:r>
        <w:rPr>
          <w:rFonts w:hint="eastAsia" w:asciiTheme="minorEastAsia" w:hAnsiTheme="minorEastAsia" w:eastAsiaTheme="minorEastAsia" w:cstheme="minorEastAsia"/>
          <w:b w:val="0"/>
          <w:bCs/>
          <w:color w:val="auto"/>
          <w:sz w:val="21"/>
          <w:szCs w:val="21"/>
          <w:u w:val="none"/>
          <w:lang w:val="en-US" w:eastAsia="zh-CN"/>
        </w:rPr>
        <w:t>.</w:t>
      </w:r>
      <w:r>
        <w:rPr>
          <w:rFonts w:hint="eastAsia" w:asciiTheme="minorEastAsia" w:hAnsiTheme="minorEastAsia" w:eastAsiaTheme="minorEastAsia" w:cstheme="minorEastAsia"/>
          <w:b w:val="0"/>
          <w:bCs/>
          <w:color w:val="auto"/>
          <w:sz w:val="21"/>
          <w:szCs w:val="21"/>
        </w:rPr>
        <w:t>本项目不接受有选择性的报价，只允许报一个下浮率，</w:t>
      </w:r>
      <w:r>
        <w:rPr>
          <w:rFonts w:hint="eastAsia" w:asciiTheme="minorEastAsia" w:hAnsiTheme="minorEastAsia" w:eastAsiaTheme="minorEastAsia" w:cstheme="minorEastAsia"/>
          <w:b/>
          <w:bCs w:val="0"/>
          <w:color w:val="auto"/>
          <w:sz w:val="21"/>
          <w:szCs w:val="21"/>
          <w:u w:val="single"/>
        </w:rPr>
        <w:t>所报的下浮率适用</w:t>
      </w:r>
      <w:r>
        <w:rPr>
          <w:rFonts w:hint="eastAsia" w:asciiTheme="minorEastAsia" w:hAnsiTheme="minorEastAsia" w:cstheme="minorEastAsia"/>
          <w:b/>
          <w:bCs w:val="0"/>
          <w:color w:val="auto"/>
          <w:sz w:val="21"/>
          <w:szCs w:val="21"/>
          <w:u w:val="single"/>
          <w:lang w:val="en-US" w:eastAsia="zh-CN"/>
        </w:rPr>
        <w:t>采购清单</w:t>
      </w:r>
      <w:r>
        <w:rPr>
          <w:rFonts w:hint="eastAsia" w:asciiTheme="minorEastAsia" w:hAnsiTheme="minorEastAsia" w:eastAsiaTheme="minorEastAsia" w:cstheme="minorEastAsia"/>
          <w:b/>
          <w:bCs w:val="0"/>
          <w:color w:val="auto"/>
          <w:sz w:val="21"/>
          <w:szCs w:val="21"/>
          <w:u w:val="single"/>
        </w:rPr>
        <w:t>所有</w:t>
      </w:r>
      <w:r>
        <w:rPr>
          <w:rFonts w:hint="eastAsia" w:asciiTheme="minorEastAsia" w:hAnsiTheme="minorEastAsia" w:cstheme="minorEastAsia"/>
          <w:b/>
          <w:bCs w:val="0"/>
          <w:color w:val="auto"/>
          <w:sz w:val="21"/>
          <w:szCs w:val="21"/>
          <w:u w:val="single"/>
          <w:lang w:val="en-US" w:eastAsia="zh-CN"/>
        </w:rPr>
        <w:t>项目内容</w:t>
      </w:r>
      <w:r>
        <w:rPr>
          <w:rFonts w:hint="eastAsia" w:asciiTheme="minorEastAsia" w:hAnsiTheme="minorEastAsia" w:eastAsiaTheme="minorEastAsia" w:cstheme="minorEastAsia"/>
          <w:b/>
          <w:bCs w:val="0"/>
          <w:color w:val="auto"/>
          <w:sz w:val="21"/>
          <w:szCs w:val="21"/>
          <w:u w:val="single"/>
          <w:lang w:eastAsia="zh-CN"/>
        </w:rPr>
        <w:t>。</w:t>
      </w:r>
    </w:p>
    <w:p>
      <w:pPr>
        <w:pStyle w:val="16"/>
        <w:numPr>
          <w:ilvl w:val="0"/>
          <w:numId w:val="0"/>
        </w:numPr>
        <w:shd w:val="clear" w:color="auto" w:fill="FFFFFF"/>
        <w:spacing w:before="0" w:beforeAutospacing="0" w:after="0" w:afterAutospacing="0" w:line="276" w:lineRule="auto"/>
        <w:ind w:left="0" w:leftChars="0" w:firstLine="420" w:firstLineChars="200"/>
        <w:rPr>
          <w:rFonts w:hint="eastAsia" w:asciiTheme="minorEastAsia" w:hAnsiTheme="minorEastAsia" w:eastAsiaTheme="minorEastAsia" w:cstheme="minorEastAsia"/>
          <w:b w:val="0"/>
          <w:bCs/>
          <w:color w:val="auto"/>
          <w:sz w:val="21"/>
          <w:szCs w:val="21"/>
          <w:lang w:eastAsia="zh-CN"/>
        </w:rPr>
      </w:pPr>
    </w:p>
    <w:p>
      <w:pPr>
        <w:pStyle w:val="21"/>
        <w:rPr>
          <w:rFonts w:hint="eastAsia"/>
          <w:sz w:val="21"/>
          <w:szCs w:val="21"/>
        </w:rPr>
      </w:pP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ascii="宋体" w:hAnsi="宋体"/>
          <w:sz w:val="21"/>
          <w:szCs w:val="21"/>
          <w:u w:val="single"/>
        </w:rPr>
      </w:pPr>
      <w:r>
        <w:rPr>
          <w:rFonts w:hint="eastAsia" w:ascii="宋体" w:hAnsi="宋体"/>
          <w:spacing w:val="4"/>
          <w:sz w:val="21"/>
          <w:szCs w:val="21"/>
        </w:rPr>
        <w:t>供应商名称（</w:t>
      </w:r>
      <w:r>
        <w:rPr>
          <w:rFonts w:hint="eastAsia" w:ascii="宋体" w:hAnsi="宋体"/>
          <w:sz w:val="21"/>
          <w:szCs w:val="21"/>
        </w:rPr>
        <w:t>单位盖</w:t>
      </w:r>
      <w:r>
        <w:rPr>
          <w:rFonts w:hint="eastAsia" w:ascii="宋体" w:hAnsi="宋体"/>
          <w:spacing w:val="4"/>
          <w:sz w:val="21"/>
          <w:szCs w:val="21"/>
        </w:rPr>
        <w:t>公章）：</w:t>
      </w:r>
    </w:p>
    <w:p>
      <w:pPr>
        <w:keepNext w:val="0"/>
        <w:keepLines w:val="0"/>
        <w:pageBreakBefore w:val="0"/>
        <w:kinsoku/>
        <w:wordWrap/>
        <w:overflowPunct/>
        <w:topLinePunct w:val="0"/>
        <w:autoSpaceDE/>
        <w:autoSpaceDN/>
        <w:bidi w:val="0"/>
        <w:adjustRightInd/>
        <w:snapToGrid/>
        <w:spacing w:beforeLines="50" w:line="320" w:lineRule="atLeast"/>
        <w:ind w:left="0" w:leftChars="0" w:firstLine="403" w:firstLineChars="192"/>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sectPr>
      <w:footerReference r:id="rId4" w:type="default"/>
      <w:pgSz w:w="11906" w:h="16838"/>
      <w:pgMar w:top="1701" w:right="1587" w:bottom="1701" w:left="153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FED5C8"/>
    <w:multiLevelType w:val="multilevel"/>
    <w:tmpl w:val="BCFED5C8"/>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pStyle w:val="5"/>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11336460"/>
    <w:multiLevelType w:val="singleLevel"/>
    <w:tmpl w:val="11336460"/>
    <w:lvl w:ilvl="0" w:tentative="0">
      <w:start w:val="1"/>
      <w:numFmt w:val="chineseCounting"/>
      <w:suff w:val="space"/>
      <w:lvlText w:val="第%1章"/>
      <w:lvlJc w:val="left"/>
      <w:rPr>
        <w:rFonts w:hint="eastAsia"/>
      </w:rPr>
    </w:lvl>
  </w:abstractNum>
  <w:abstractNum w:abstractNumId="2">
    <w:nsid w:val="1D50D971"/>
    <w:multiLevelType w:val="singleLevel"/>
    <w:tmpl w:val="1D50D971"/>
    <w:lvl w:ilvl="0" w:tentative="0">
      <w:start w:val="1"/>
      <w:numFmt w:val="chineseCounting"/>
      <w:suff w:val="nothing"/>
      <w:lvlText w:val="%1、"/>
      <w:lvlJc w:val="left"/>
      <w:rPr>
        <w:rFonts w:hint="eastAsia"/>
      </w:rPr>
    </w:lvl>
  </w:abstractNum>
  <w:abstractNum w:abstractNumId="3">
    <w:nsid w:val="36A5433C"/>
    <w:multiLevelType w:val="singleLevel"/>
    <w:tmpl w:val="36A5433C"/>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A3658"/>
    <w:rsid w:val="007D2DC4"/>
    <w:rsid w:val="00CB5EF6"/>
    <w:rsid w:val="00E21113"/>
    <w:rsid w:val="00EE48ED"/>
    <w:rsid w:val="0155715C"/>
    <w:rsid w:val="01C728D0"/>
    <w:rsid w:val="02C06004"/>
    <w:rsid w:val="03356B49"/>
    <w:rsid w:val="04C27B6C"/>
    <w:rsid w:val="05601E08"/>
    <w:rsid w:val="059000B3"/>
    <w:rsid w:val="07A40D36"/>
    <w:rsid w:val="084E3E36"/>
    <w:rsid w:val="08F6786C"/>
    <w:rsid w:val="09C22DF1"/>
    <w:rsid w:val="0A8F5899"/>
    <w:rsid w:val="0B3C2B55"/>
    <w:rsid w:val="0BC5664A"/>
    <w:rsid w:val="0BDA4A8E"/>
    <w:rsid w:val="0C373B85"/>
    <w:rsid w:val="0CAD59F1"/>
    <w:rsid w:val="0D226E45"/>
    <w:rsid w:val="0D934A87"/>
    <w:rsid w:val="0F1B3E67"/>
    <w:rsid w:val="0F921F3B"/>
    <w:rsid w:val="10662DEA"/>
    <w:rsid w:val="10745D84"/>
    <w:rsid w:val="11B25927"/>
    <w:rsid w:val="11F65C3B"/>
    <w:rsid w:val="123D6A4D"/>
    <w:rsid w:val="1274634C"/>
    <w:rsid w:val="131902D0"/>
    <w:rsid w:val="1397165D"/>
    <w:rsid w:val="14F77FDF"/>
    <w:rsid w:val="152732B5"/>
    <w:rsid w:val="16737FD7"/>
    <w:rsid w:val="16F50701"/>
    <w:rsid w:val="186D7D0F"/>
    <w:rsid w:val="19C1544E"/>
    <w:rsid w:val="19DA1D52"/>
    <w:rsid w:val="1B34727B"/>
    <w:rsid w:val="1B8637C9"/>
    <w:rsid w:val="1BED1A6A"/>
    <w:rsid w:val="1BFA5FCE"/>
    <w:rsid w:val="1C4818B8"/>
    <w:rsid w:val="1E0A1FE4"/>
    <w:rsid w:val="20947A18"/>
    <w:rsid w:val="21A03B8D"/>
    <w:rsid w:val="21A3268F"/>
    <w:rsid w:val="21C36F1F"/>
    <w:rsid w:val="21F7526F"/>
    <w:rsid w:val="255C570C"/>
    <w:rsid w:val="25E67716"/>
    <w:rsid w:val="264F26CE"/>
    <w:rsid w:val="265E0F6A"/>
    <w:rsid w:val="27CD6122"/>
    <w:rsid w:val="28A27EE1"/>
    <w:rsid w:val="29251E59"/>
    <w:rsid w:val="29421331"/>
    <w:rsid w:val="29AE135E"/>
    <w:rsid w:val="29EE0735"/>
    <w:rsid w:val="2AA661B2"/>
    <w:rsid w:val="2C3604EF"/>
    <w:rsid w:val="2C627AC8"/>
    <w:rsid w:val="2D5007B8"/>
    <w:rsid w:val="2D7B5115"/>
    <w:rsid w:val="2DBC2E0A"/>
    <w:rsid w:val="2F062F75"/>
    <w:rsid w:val="2F2F0429"/>
    <w:rsid w:val="2FB478F7"/>
    <w:rsid w:val="2FC95D81"/>
    <w:rsid w:val="303B299D"/>
    <w:rsid w:val="30D96D35"/>
    <w:rsid w:val="31006CD9"/>
    <w:rsid w:val="31041AAE"/>
    <w:rsid w:val="310606C6"/>
    <w:rsid w:val="31760054"/>
    <w:rsid w:val="318656D8"/>
    <w:rsid w:val="325231EF"/>
    <w:rsid w:val="332D2CD8"/>
    <w:rsid w:val="33597986"/>
    <w:rsid w:val="34364FAB"/>
    <w:rsid w:val="36843AE7"/>
    <w:rsid w:val="37B54E1D"/>
    <w:rsid w:val="37B81BEC"/>
    <w:rsid w:val="38430852"/>
    <w:rsid w:val="38787AEA"/>
    <w:rsid w:val="38F92A66"/>
    <w:rsid w:val="3A8676EF"/>
    <w:rsid w:val="3ADC47D3"/>
    <w:rsid w:val="3B0E690B"/>
    <w:rsid w:val="3DC84A9A"/>
    <w:rsid w:val="3DFE6052"/>
    <w:rsid w:val="3EF24ED3"/>
    <w:rsid w:val="3FB21705"/>
    <w:rsid w:val="3FE77A82"/>
    <w:rsid w:val="4017186C"/>
    <w:rsid w:val="412B3BD0"/>
    <w:rsid w:val="41711287"/>
    <w:rsid w:val="435726A3"/>
    <w:rsid w:val="43F7549F"/>
    <w:rsid w:val="44074471"/>
    <w:rsid w:val="46024A63"/>
    <w:rsid w:val="468E2CEF"/>
    <w:rsid w:val="47007902"/>
    <w:rsid w:val="484E1C0A"/>
    <w:rsid w:val="494C2B06"/>
    <w:rsid w:val="4989289F"/>
    <w:rsid w:val="4B1B2583"/>
    <w:rsid w:val="4C7B4010"/>
    <w:rsid w:val="4D4A51B9"/>
    <w:rsid w:val="4D7805B5"/>
    <w:rsid w:val="4E306D68"/>
    <w:rsid w:val="4E666B74"/>
    <w:rsid w:val="4EB20057"/>
    <w:rsid w:val="4F3E14BF"/>
    <w:rsid w:val="4FB67A4E"/>
    <w:rsid w:val="50022F29"/>
    <w:rsid w:val="50D85556"/>
    <w:rsid w:val="50F9713C"/>
    <w:rsid w:val="515E7A70"/>
    <w:rsid w:val="517B4F66"/>
    <w:rsid w:val="5209190E"/>
    <w:rsid w:val="53B264F4"/>
    <w:rsid w:val="54117BA3"/>
    <w:rsid w:val="54561298"/>
    <w:rsid w:val="54B57A63"/>
    <w:rsid w:val="55B47A73"/>
    <w:rsid w:val="569F7A39"/>
    <w:rsid w:val="57010344"/>
    <w:rsid w:val="577B5528"/>
    <w:rsid w:val="587B3035"/>
    <w:rsid w:val="59F138CC"/>
    <w:rsid w:val="5AB76B2C"/>
    <w:rsid w:val="5ACF512A"/>
    <w:rsid w:val="5B4065D1"/>
    <w:rsid w:val="5B4A21F6"/>
    <w:rsid w:val="5C3C3636"/>
    <w:rsid w:val="5CA85FC8"/>
    <w:rsid w:val="5EB66D4F"/>
    <w:rsid w:val="601F6302"/>
    <w:rsid w:val="61173B32"/>
    <w:rsid w:val="619F122B"/>
    <w:rsid w:val="63257394"/>
    <w:rsid w:val="63B9340E"/>
    <w:rsid w:val="63DB0545"/>
    <w:rsid w:val="6455458D"/>
    <w:rsid w:val="65B94EC2"/>
    <w:rsid w:val="692C1847"/>
    <w:rsid w:val="698F20E1"/>
    <w:rsid w:val="69CB1013"/>
    <w:rsid w:val="6A6A3C88"/>
    <w:rsid w:val="6BC46931"/>
    <w:rsid w:val="6D0D7448"/>
    <w:rsid w:val="6E3C39C3"/>
    <w:rsid w:val="6F8E3FB3"/>
    <w:rsid w:val="703334D2"/>
    <w:rsid w:val="70391CB1"/>
    <w:rsid w:val="710A6422"/>
    <w:rsid w:val="71AD6345"/>
    <w:rsid w:val="71BF53D6"/>
    <w:rsid w:val="71ED654D"/>
    <w:rsid w:val="720C154E"/>
    <w:rsid w:val="72150491"/>
    <w:rsid w:val="721A1E72"/>
    <w:rsid w:val="72F025FA"/>
    <w:rsid w:val="735340BF"/>
    <w:rsid w:val="73656151"/>
    <w:rsid w:val="745449E5"/>
    <w:rsid w:val="74747C07"/>
    <w:rsid w:val="74FC0165"/>
    <w:rsid w:val="762A42EA"/>
    <w:rsid w:val="77192436"/>
    <w:rsid w:val="77350F71"/>
    <w:rsid w:val="7745190F"/>
    <w:rsid w:val="77904BBB"/>
    <w:rsid w:val="77FF0EFA"/>
    <w:rsid w:val="78F4799D"/>
    <w:rsid w:val="7DAC5C69"/>
    <w:rsid w:val="7EC040B2"/>
    <w:rsid w:val="7F312660"/>
    <w:rsid w:val="7FAD3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widowControl/>
      <w:adjustRightInd w:val="0"/>
      <w:snapToGrid w:val="0"/>
      <w:spacing w:line="360" w:lineRule="auto"/>
      <w:jc w:val="center"/>
      <w:outlineLvl w:val="1"/>
    </w:pPr>
    <w:rPr>
      <w:rFonts w:ascii="宋体" w:hAnsi="Arial"/>
      <w:b/>
      <w:kern w:val="0"/>
      <w:sz w:val="32"/>
      <w:szCs w:val="20"/>
    </w:rPr>
  </w:style>
  <w:style w:type="paragraph" w:styleId="5">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character" w:default="1" w:styleId="1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Cs w:val="20"/>
    </w:rPr>
  </w:style>
  <w:style w:type="paragraph" w:styleId="6">
    <w:name w:val="Normal Indent"/>
    <w:basedOn w:val="1"/>
    <w:qFormat/>
    <w:uiPriority w:val="0"/>
    <w:pPr>
      <w:ind w:firstLine="420"/>
    </w:pPr>
    <w:rPr>
      <w:szCs w:val="20"/>
    </w:rPr>
  </w:style>
  <w:style w:type="paragraph" w:styleId="7">
    <w:name w:val="Body Text"/>
    <w:basedOn w:val="1"/>
    <w:qFormat/>
    <w:uiPriority w:val="0"/>
    <w:pPr>
      <w:tabs>
        <w:tab w:val="left" w:pos="562"/>
        <w:tab w:val="left" w:pos="3372"/>
        <w:tab w:val="left" w:pos="3653"/>
      </w:tabs>
    </w:pPr>
    <w:rPr>
      <w:sz w:val="24"/>
    </w:rPr>
  </w:style>
  <w:style w:type="paragraph" w:styleId="8">
    <w:name w:val="Body Text Indent"/>
    <w:basedOn w:val="1"/>
    <w:next w:val="9"/>
    <w:qFormat/>
    <w:uiPriority w:val="0"/>
    <w:pPr>
      <w:ind w:left="420"/>
    </w:pPr>
  </w:style>
  <w:style w:type="paragraph" w:styleId="9">
    <w:name w:val="envelope return"/>
    <w:basedOn w:val="1"/>
    <w:qFormat/>
    <w:uiPriority w:val="0"/>
    <w:pPr>
      <w:autoSpaceDE/>
      <w:autoSpaceDN/>
      <w:adjustRightInd/>
      <w:snapToGrid w:val="0"/>
      <w:jc w:val="both"/>
    </w:pPr>
    <w:rPr>
      <w:rFonts w:ascii="Arial" w:hAnsi="Arial" w:cs="Arial"/>
      <w:kern w:val="2"/>
      <w:sz w:val="21"/>
    </w:rPr>
  </w:style>
  <w:style w:type="paragraph" w:styleId="10">
    <w:name w:val="Plain Text"/>
    <w:basedOn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Body Text First Indent 2"/>
    <w:basedOn w:val="8"/>
    <w:qFormat/>
    <w:uiPriority w:val="0"/>
    <w:pPr>
      <w:widowControl/>
      <w:spacing w:after="120"/>
      <w:ind w:leftChars="200" w:firstLine="420" w:firstLineChars="200"/>
      <w:jc w:val="left"/>
    </w:pPr>
    <w:rPr>
      <w:rFonts w:ascii="Times New Roman" w:hAnsi="Times New Roman"/>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39"/>
    <w:pPr>
      <w:spacing w:before="120" w:after="120"/>
      <w:jc w:val="center"/>
    </w:pPr>
    <w:rPr>
      <w:b/>
      <w:bCs/>
      <w:caps/>
      <w:sz w:val="28"/>
      <w:szCs w:val="28"/>
    </w:rPr>
  </w:style>
  <w:style w:type="paragraph" w:styleId="15">
    <w:name w:val="toc 2"/>
    <w:basedOn w:val="1"/>
    <w:next w:val="1"/>
    <w:unhideWhenUsed/>
    <w:qFormat/>
    <w:uiPriority w:val="39"/>
    <w:pPr>
      <w:ind w:left="420" w:leftChars="200"/>
      <w:jc w:val="left"/>
    </w:pPr>
    <w:rPr>
      <w:sz w:val="24"/>
    </w:rPr>
  </w:style>
  <w:style w:type="paragraph" w:styleId="16">
    <w:name w:val="Normal (Web)"/>
    <w:basedOn w:val="1"/>
    <w:qFormat/>
    <w:uiPriority w:val="0"/>
    <w:rPr>
      <w:sz w:val="24"/>
    </w:rPr>
  </w:style>
  <w:style w:type="character" w:styleId="18">
    <w:name w:val="Hyperlink"/>
    <w:qFormat/>
    <w:uiPriority w:val="99"/>
    <w:rPr>
      <w:color w:val="0000FF"/>
      <w:u w:val="single"/>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1">
    <w:name w:val="_Style 3"/>
    <w:basedOn w:val="1"/>
    <w:qFormat/>
    <w:uiPriority w:val="0"/>
    <w:pPr>
      <w:ind w:firstLine="420" w:firstLineChars="200"/>
    </w:pPr>
    <w:rPr>
      <w:sz w:val="20"/>
    </w:rPr>
  </w:style>
  <w:style w:type="paragraph" w:customStyle="1" w:styleId="22">
    <w:name w:val="List Paragraph"/>
    <w:basedOn w:val="1"/>
    <w:qFormat/>
    <w:uiPriority w:val="34"/>
    <w:pPr>
      <w:ind w:firstLine="420" w:firstLineChars="200"/>
    </w:pPr>
  </w:style>
  <w:style w:type="paragraph" w:customStyle="1" w:styleId="23">
    <w:name w:val="列出段落1"/>
    <w:basedOn w:val="1"/>
    <w:qFormat/>
    <w:uiPriority w:val="34"/>
    <w:pPr>
      <w:ind w:firstLine="420" w:firstLineChars="200"/>
    </w:pPr>
  </w:style>
  <w:style w:type="paragraph" w:customStyle="1" w:styleId="24">
    <w:name w:val="保留正文"/>
    <w:basedOn w:val="7"/>
    <w:qFormat/>
    <w:uiPriority w:val="0"/>
    <w:pPr>
      <w:keepNext/>
      <w:spacing w:after="160"/>
    </w:pPr>
    <w:rPr>
      <w:sz w:val="21"/>
    </w:rPr>
  </w:style>
  <w:style w:type="character" w:customStyle="1" w:styleId="25">
    <w:name w:val="NormalCharacter"/>
    <w:semiHidden/>
    <w:qFormat/>
    <w:uiPriority w:val="99"/>
  </w:style>
  <w:style w:type="paragraph" w:customStyle="1" w:styleId="26">
    <w:name w:val="正文正"/>
    <w:basedOn w:val="1"/>
    <w:qFormat/>
    <w:uiPriority w:val="0"/>
    <w:pPr>
      <w:spacing w:line="560" w:lineRule="exact"/>
      <w:ind w:firstLine="561"/>
    </w:pPr>
    <w:rPr>
      <w:rFonts w:eastAsia="仿宋_GB2312"/>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河源监狱</Company>
  <Pages>1</Pages>
  <Words>0</Words>
  <Characters>0</Characters>
  <Lines>0</Lines>
  <Paragraphs>0</Paragraphs>
  <TotalTime>1</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2022-06-27T02:07:00Z</dcterms:created>
  <dc:creator>何坤锋</dc:creator>
  <cp:lastModifiedBy>何坤锋</cp:lastModifiedBy>
  <cp:lastPrinted>2023-06-21T02:32:00Z</cp:lastPrinted>
  <dcterms:modified xsi:type="dcterms:W3CDTF">2024-08-07T06:48:09Z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