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2024047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安防系统完善项目</w:t>
      </w:r>
      <w:r>
        <w:rPr>
          <w:rFonts w:hint="eastAsia" w:asciiTheme="minorEastAsia" w:hAnsiTheme="minorEastAsia" w:eastAsiaTheme="minorEastAsia" w:cstheme="minorEastAsia"/>
          <w:sz w:val="32"/>
          <w:szCs w:val="32"/>
          <w:u w:val="single"/>
          <w:lang w:val="en-US" w:eastAsia="zh-CN"/>
        </w:rPr>
        <w:t xml:space="preserve">  </w:t>
      </w:r>
    </w:p>
    <w:p>
      <w:pPr>
        <w:ind w:left="0" w:leftChars="0" w:firstLine="640" w:firstLineChars="200"/>
        <w:rPr>
          <w:rFonts w:hint="default" w:eastAsiaTheme="minorEastAsia"/>
          <w:sz w:val="32"/>
          <w:szCs w:val="32"/>
          <w:lang w:val="en-US" w:eastAsia="zh-CN"/>
        </w:rPr>
      </w:pPr>
      <w:r>
        <w:rPr>
          <w:rFonts w:hint="eastAsia"/>
          <w:sz w:val="32"/>
          <w:szCs w:val="32"/>
        </w:rPr>
        <w:t>采购方式：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1"/>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8</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8"/>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9</w:t>
      </w:r>
    </w:p>
    <w:p>
      <w:pPr>
        <w:rPr>
          <w:rFonts w:hint="eastAsia"/>
        </w:rPr>
      </w:pPr>
    </w:p>
    <w:p>
      <w:pPr>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rPr>
          <w:rFonts w:hint="eastAsia"/>
        </w:rPr>
      </w:pPr>
    </w:p>
    <w:p>
      <w:pPr>
        <w:rPr>
          <w:rFonts w:hint="eastAsia"/>
        </w:rPr>
      </w:pPr>
    </w:p>
    <w:p>
      <w:pPr>
        <w:pageBreakBefore w:val="0"/>
        <w:numPr>
          <w:ilvl w:val="0"/>
          <w:numId w:val="2"/>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1"/>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竞价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竞价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w:t>
      </w:r>
      <w:r>
        <w:rPr>
          <w:rFonts w:hint="eastAsia" w:asciiTheme="minorEastAsia" w:hAnsiTheme="minorEastAsia" w:cstheme="minorEastAsia"/>
          <w:color w:val="000000" w:themeColor="text1"/>
          <w:sz w:val="21"/>
          <w:szCs w:val="21"/>
          <w:lang w:val="en-US" w:eastAsia="zh-CN"/>
          <w14:textFill>
            <w14:solidFill>
              <w14:schemeClr w14:val="tx1"/>
            </w14:solidFill>
          </w14:textFill>
        </w:rPr>
        <w:t>逾期概不受理，</w:t>
      </w:r>
      <w:r>
        <w:rPr>
          <w:rFonts w:hint="eastAsia" w:asciiTheme="minorEastAsia" w:hAnsiTheme="minorEastAsia" w:eastAsiaTheme="minorEastAsia" w:cstheme="minorEastAsia"/>
          <w:color w:val="000000" w:themeColor="text1"/>
          <w:sz w:val="21"/>
          <w:szCs w:val="21"/>
          <w14:textFill>
            <w14:solidFill>
              <w14:schemeClr w14:val="tx1"/>
            </w14:solidFill>
          </w14:textFill>
        </w:rPr>
        <w:t>详见《</w:t>
      </w:r>
      <w:r>
        <w:rPr>
          <w:rFonts w:hint="eastAsia" w:asciiTheme="minorEastAsia" w:hAnsiTheme="minorEastAsia" w:cstheme="minorEastAsia"/>
          <w:color w:val="000000" w:themeColor="text1"/>
          <w:sz w:val="21"/>
          <w:szCs w:val="21"/>
          <w:lang w:val="en-US"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w:t>
      </w:r>
      <w:r>
        <w:rPr>
          <w:rFonts w:hint="eastAsia" w:asciiTheme="minorEastAsia" w:hAnsiTheme="minorEastAsia" w:cstheme="minorEastAsia"/>
          <w:sz w:val="21"/>
          <w:szCs w:val="21"/>
          <w:lang w:val="en-US" w:eastAsia="zh-CN"/>
        </w:rPr>
        <w:t>随机选取方式确定</w:t>
      </w:r>
      <w:r>
        <w:rPr>
          <w:rFonts w:hint="eastAsia" w:asciiTheme="minorEastAsia" w:hAnsiTheme="minorEastAsia" w:eastAsiaTheme="minorEastAsia" w:cstheme="minorEastAsia"/>
          <w:sz w:val="21"/>
          <w:szCs w:val="21"/>
        </w:rPr>
        <w:t>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eastAsia" w:asciiTheme="minorEastAsia" w:hAnsiTheme="minorEastAsia" w:eastAsiaTheme="minorEastAsia" w:cstheme="minorEastAsia"/>
          <w:b/>
          <w:bCs/>
          <w:sz w:val="21"/>
          <w:szCs w:val="21"/>
        </w:rPr>
      </w:pP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lang w:eastAsia="zh-CN"/>
        </w:rPr>
        <w:t>项目概</w:t>
      </w:r>
      <w:r>
        <w:rPr>
          <w:rFonts w:hint="eastAsia"/>
          <w:lang w:val="en-US" w:eastAsia="zh-CN"/>
        </w:rPr>
        <w:t>况</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采购人根据管理需要，对部分安防系统进行完善。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rPr>
        <w:t>二、</w:t>
      </w:r>
      <w:r>
        <w:rPr>
          <w:rFonts w:hint="eastAsia"/>
          <w:lang w:eastAsia="zh-CN"/>
        </w:rPr>
        <w:t>预算金额</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人民币280626.57元。</w:t>
      </w:r>
    </w:p>
    <w:p>
      <w:pPr>
        <w:pageBreakBefore w:val="0"/>
        <w:numPr>
          <w:ilvl w:val="0"/>
          <w:numId w:val="3"/>
        </w:numPr>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标的清单</w:t>
      </w:r>
    </w:p>
    <w:tbl>
      <w:tblPr>
        <w:tblStyle w:val="19"/>
        <w:tblW w:w="8880" w:type="dxa"/>
        <w:jc w:val="center"/>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51"/>
        <w:gridCol w:w="982"/>
        <w:gridCol w:w="2430"/>
        <w:gridCol w:w="685"/>
        <w:gridCol w:w="786"/>
        <w:gridCol w:w="896"/>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86"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1151"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产品名称</w:t>
            </w:r>
          </w:p>
        </w:tc>
        <w:tc>
          <w:tcPr>
            <w:tcW w:w="982"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品牌/型号</w:t>
            </w:r>
          </w:p>
        </w:tc>
        <w:tc>
          <w:tcPr>
            <w:tcW w:w="2430"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参数/功能描述</w:t>
            </w:r>
          </w:p>
        </w:tc>
        <w:tc>
          <w:tcPr>
            <w:tcW w:w="685"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数量</w:t>
            </w:r>
          </w:p>
        </w:tc>
        <w:tc>
          <w:tcPr>
            <w:tcW w:w="786"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w:t>
            </w:r>
          </w:p>
        </w:tc>
        <w:tc>
          <w:tcPr>
            <w:tcW w:w="896"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单价最高</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限价（元）</w:t>
            </w:r>
          </w:p>
        </w:tc>
        <w:tc>
          <w:tcPr>
            <w:tcW w:w="1164"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880" w:type="dxa"/>
            <w:gridSpan w:val="8"/>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一、安防部分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超五类屏蔽4对双绞线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VCOM</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1.超过 ANSI/TIA-568-C.2 ， ISO/IEC11801:2002, EN5013:2002 中的要求；2.品质稳定并可传输达100MHz，单股线径23AWG,4对,8芯，每芯带有彩色护套，十字分割；3.结构：FTP；4.导体直径 0.57±0.005mm；5.工作过程中（最小）弯曲半径 65mm；6.护套：聚氯乙烯 (PVC)；7.产品包装：纸箱包装（305米）；8.选用高质量的材料制成，保证25年性能不变。</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¥6.67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RVV2×1.00。</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¥1,191.00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摄像机移装</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移装摄像机及调试，含定制实施，含阻燃PVC线槽线管、螺丝、扎带、胶布、接插件等各类施工辅材，满足建设需求。</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¥254.08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¥2,540.80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应急报警按钮移装</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拆除安装应急报警按钮及调试，含定制实施，含阻燃PVC线槽线管、螺丝、扎带、胶布、接插件等各类施工辅材，满足建设需求。</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¥77.39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¥2,321.70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982" w:type="dxa"/>
            <w:vAlign w:val="center"/>
          </w:tcPr>
          <w:p>
            <w:pPr>
              <w:jc w:val="center"/>
              <w:rPr>
                <w:rFonts w:hint="eastAsia" w:ascii="宋体" w:hAnsi="宋体" w:eastAsia="宋体" w:cs="宋体"/>
                <w:i w:val="0"/>
                <w:iCs w:val="0"/>
                <w:color w:val="000000"/>
                <w:sz w:val="16"/>
                <w:szCs w:val="16"/>
                <w:u w:val="none"/>
              </w:rPr>
            </w:pPr>
          </w:p>
        </w:tc>
        <w:tc>
          <w:tcPr>
            <w:tcW w:w="4797" w:type="dxa"/>
            <w:gridSpan w:val="4"/>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¥26,063.50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880" w:type="dxa"/>
            <w:gridSpan w:val="8"/>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15"/>
                <w:szCs w:val="15"/>
                <w:u w:val="none"/>
                <w:lang w:val="en-US" w:eastAsia="zh-CN" w:bidi="ar"/>
              </w:rPr>
              <w:t>二、门禁部分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门禁控制器</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海康DS-K260XYZ-ABC</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TCP/IP网络二门控制器，可控制二个门单向进出或一个门双向进出，提供2组电锁电源12VDC输出；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上行通讯接口： 1个，10/100MB以太网，RJ45接口；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校时 内置支持SNTP国际标准校时协议；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支持TCP/IP远程升级。</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¥928.03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¥50,113.62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读卡器（密码+卡）国密</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海康DS-K1102GK</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支持介质：支持本系统正常授权的国密卡读取，非本系统授权或非本系统的国密卡不可读。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读卡距离：读卡距离 3~5cm。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通讯接口： Wiegand26/34自适应，通讯要求加密，非本系统读卡器不可接入。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通讯距离：不小于100m。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信号反馈 ：支持LED灯、蜂鸣器信号反馈：根据不同的事件反馈不同的信号。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工作电压 额定电压DC12V。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工作电流 ≤80ｍＡ。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适应86底盒安装。</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¥660.64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¥37,656.48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单门磁力锁</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海康DS-K4H450PSC</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500公斤单门磁力锁和支架；带门磁反馈信号；带指示灯状态反馈；供电DC12V。</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¥555.21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¥16,656.30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双门磁力锁</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海康DS-K4H450PDC</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500公斤双门磁力锁和支架；带门磁反馈信号；带指示灯状态反馈；供电DC12V。</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¥923.21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¥2,769.63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电机锁</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海康DS-K4E101</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单头静音锁；带指示灯状态反馈；支持钥匙开门；供电DC12V。</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¥302.00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出门按钮</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海康EB29</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塑胶型。</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¥74.66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¥3,807.66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闭门器</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海康DS-K4DC104</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铝合金材质；液压模式，适合门重：60-85KG。</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¥214.97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¥10,963.47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16口交换机</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海康DS-3E1516-E</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16口千兆，网管，非POE供电，交换容量56Gbps。</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¥700.86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超五类屏蔽4对双绞线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VCOM</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1.超过 ANSI/TIA-568-C.2 ， ISO/IEC11801:2002, EN5013:2002 中的要求；2.品质稳定并可传输达100MHz，单股线径23AWG,4对,8芯，每芯带有彩色护套，十字分割；3.结构：FTP；4.导体直径 0.57±0.005mm；5.工作过程中（最小）弯曲半径 65mm；6.护套：聚氯乙烯 (PVC)；7.产品包装：纸箱包装（305米）；8.选用高质量的材料制成，保证25年性能不变。</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4320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¥6.67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¥28,814.40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RVV2×1.00</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4320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¥17,150.40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安装调试</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安装调试门禁控制设备以及配套辅材，含暗敷施工、定制实施，含PVC管材、螺丝、扎带、胶布、接插件、安装底盒等各类施工辅材，满足项目建设需求。</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¥2,085.01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¥2,085.01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对接统一门禁管理平台</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刷卡器设备、门禁控制器设备需接入监狱统一门禁管理平台，实现门禁的集中管控和统一管理。</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¥15,000.00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门禁标准化测试</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合省监狱局统一门禁标准化测试。含标准SDK接口，秘钥算法、国密秘钥管理及制卡发卡标准，国密制卡写卡标准、国密读卡器标准、国密写卡发卡器标准、以及相关门禁控制标准、国密门禁应用系统相关标准测试。</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982" w:type="dxa"/>
            <w:vAlign w:val="center"/>
          </w:tcPr>
          <w:p>
            <w:pPr>
              <w:jc w:val="center"/>
              <w:rPr>
                <w:rFonts w:hint="eastAsia" w:ascii="宋体" w:hAnsi="宋体" w:eastAsia="宋体" w:cs="宋体"/>
                <w:i w:val="0"/>
                <w:iCs w:val="0"/>
                <w:color w:val="000000"/>
                <w:sz w:val="16"/>
                <w:szCs w:val="16"/>
                <w:u w:val="none"/>
              </w:rPr>
            </w:pPr>
          </w:p>
        </w:tc>
        <w:tc>
          <w:tcPr>
            <w:tcW w:w="4797" w:type="dxa"/>
            <w:gridSpan w:val="4"/>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¥212,760.69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880" w:type="dxa"/>
            <w:gridSpan w:val="8"/>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15"/>
                <w:szCs w:val="15"/>
                <w:u w:val="none"/>
                <w:lang w:val="en-US" w:eastAsia="zh-CN" w:bidi="ar"/>
              </w:rPr>
              <w:t>三、合计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安防和门禁部分</w:t>
            </w:r>
          </w:p>
        </w:tc>
        <w:tc>
          <w:tcPr>
            <w:tcW w:w="341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A+B</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¥238,824.19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绿色施工安全防护措施费和其他措施费</w:t>
            </w:r>
          </w:p>
        </w:tc>
        <w:tc>
          <w:tcPr>
            <w:tcW w:w="3412" w:type="dxa"/>
            <w:gridSpan w:val="2"/>
            <w:vAlign w:val="center"/>
          </w:tcPr>
          <w:p>
            <w:pPr>
              <w:jc w:val="center"/>
              <w:rPr>
                <w:rFonts w:hint="eastAsia" w:ascii="宋体" w:hAnsi="宋体" w:eastAsia="宋体" w:cs="宋体"/>
                <w:i w:val="0"/>
                <w:iCs w:val="0"/>
                <w:color w:val="000000"/>
                <w:sz w:val="16"/>
                <w:szCs w:val="16"/>
                <w:u w:val="none"/>
              </w:rPr>
            </w:pP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¥14,877.14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预算包干费</w:t>
            </w:r>
          </w:p>
        </w:tc>
        <w:tc>
          <w:tcPr>
            <w:tcW w:w="3412" w:type="dxa"/>
            <w:gridSpan w:val="2"/>
            <w:vAlign w:val="center"/>
          </w:tcPr>
          <w:p>
            <w:pPr>
              <w:jc w:val="center"/>
              <w:rPr>
                <w:rFonts w:hint="eastAsia" w:ascii="宋体" w:hAnsi="宋体" w:eastAsia="宋体" w:cs="宋体"/>
                <w:i w:val="0"/>
                <w:iCs w:val="0"/>
                <w:color w:val="000000"/>
                <w:sz w:val="16"/>
                <w:szCs w:val="16"/>
                <w:u w:val="none"/>
              </w:rPr>
            </w:pP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¥3,754.24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税费</w:t>
            </w:r>
          </w:p>
        </w:tc>
        <w:tc>
          <w:tcPr>
            <w:tcW w:w="341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(C+D+E)*9%</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¥23,171.00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3412" w:type="dxa"/>
            <w:gridSpan w:val="2"/>
            <w:vAlign w:val="center"/>
          </w:tcPr>
          <w:p>
            <w:pPr>
              <w:jc w:val="center"/>
              <w:rPr>
                <w:rFonts w:hint="eastAsia" w:ascii="宋体" w:hAnsi="宋体" w:eastAsia="宋体" w:cs="宋体"/>
                <w:i w:val="0"/>
                <w:iCs w:val="0"/>
                <w:color w:val="000000"/>
                <w:sz w:val="16"/>
                <w:szCs w:val="16"/>
                <w:u w:val="none"/>
              </w:rPr>
            </w:pPr>
          </w:p>
        </w:tc>
        <w:tc>
          <w:tcPr>
            <w:tcW w:w="685" w:type="dxa"/>
            <w:vAlign w:val="center"/>
          </w:tcPr>
          <w:p>
            <w:pPr>
              <w:jc w:val="center"/>
              <w:rPr>
                <w:rFonts w:hint="eastAsia" w:ascii="宋体" w:hAnsi="宋体" w:eastAsia="宋体" w:cs="宋体"/>
                <w:i w:val="0"/>
                <w:iCs w:val="0"/>
                <w:color w:val="000000"/>
                <w:sz w:val="16"/>
                <w:szCs w:val="16"/>
                <w:u w:val="none"/>
              </w:rPr>
            </w:pPr>
          </w:p>
        </w:tc>
        <w:tc>
          <w:tcPr>
            <w:tcW w:w="786" w:type="dxa"/>
            <w:vAlign w:val="center"/>
          </w:tcPr>
          <w:p>
            <w:pPr>
              <w:jc w:val="center"/>
              <w:rPr>
                <w:rFonts w:hint="eastAsia" w:ascii="宋体" w:hAnsi="宋体" w:eastAsia="宋体" w:cs="宋体"/>
                <w:i w:val="0"/>
                <w:iCs w:val="0"/>
                <w:color w:val="000000"/>
                <w:sz w:val="16"/>
                <w:szCs w:val="16"/>
                <w:u w:val="none"/>
              </w:rPr>
            </w:pP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¥280,626.57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880" w:type="dxa"/>
            <w:gridSpan w:val="8"/>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5"/>
                <w:szCs w:val="15"/>
                <w:u w:val="none"/>
                <w:lang w:val="en-US" w:eastAsia="zh-CN" w:bidi="ar"/>
              </w:rPr>
              <w:t>注：以上含2年系统运维，设备对接、安装调试、测试、人工和税金等费用。</w:t>
            </w:r>
          </w:p>
        </w:tc>
      </w:tr>
    </w:tbl>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四、服务内容</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在楼层值班室、楼层通道等部位新装100个网络信息点、54套电子门禁，移装30个报警按钮和10个摄像头，以及铺设配套的线管线材，满足管理需要。楼层值班室安装网络信息点和安防设备，需接入监狱网络和安防系统后台。54套电子门禁，需接入统一门禁管理平台，同时配合省局开展统一国密秘钥标准化测试。</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五、服务标准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按项目清单、服务内容要求配备设备，规范铺设线路，对设备进行安装调试，对接统一门禁管理平台，配合省监狱局统一门禁标准化测试，确保设备和系统正常运行。</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（一）设备材料的包装必须是制造商原厂包装，其包装均应有良好的防湿、防锈、防潮、防雨、防腐及防碰撞的措施。凡由于包装不良造成的损失和由此产生的费用均由供应商承担。</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（二）设备调试、系统对接必须能确保设备在相应安防系统内能顺畅、高效运行。</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三）配合测试必须能确保能够提供标准SDK接口，秘钥算法、国密秘钥管理及制卡发卡标准，国密制卡写卡标准、国密读卡器标准、国密写卡发卡器标准、以及相关门禁控制标准、国密门禁应用系统相关标准测试。</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六、（交付）期限</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合同签订之日起45个自然日内。</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七、款项支付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项目验收合格，收到供应商有效发票后15日内完成合同金额支付。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八、售后保障</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本项目自验收合格之日起质保2年。供应商签订合同后5个工作日内，需缴纳合同总价的5%作为履约保证金。履约保证金在项目验收合格后自动转为质量保证金，合同期满全额无息退回。质保期内，供应商为采购人免费更换和维修有缺陷或者故障的设备和线路，提供相应的系统和功能的技术支持，由此产生的一切费用均由供应商承担。如履行合同期间采购人发现供应商未按规定履行合同，采购人有权一次性扣除保证金，有权结束合作并立即终止合同（造成的损失由供应商承担），同时拒绝该供应商法人旗下所有公司参与采购人其它项目采购。</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九、验收标准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采购人根据有关国家行业所列标准及规范、规定、核对项目采购文件、清单、货物原厂证明、合同等材料，采购项目品牌、数量、质量、功能、安装工艺、对接测试情况和运行情况等均需符合要求。</w:t>
      </w:r>
    </w:p>
    <w:p>
      <w:pPr>
        <w:pageBreakBefore w:val="0"/>
        <w:kinsoku/>
        <w:wordWrap/>
        <w:overflowPunct/>
        <w:topLinePunct w:val="0"/>
        <w:bidi w:val="0"/>
        <w:spacing w:line="340" w:lineRule="exact"/>
        <w:ind w:left="0" w:leftChars="0" w:firstLine="420" w:firstLineChars="200"/>
        <w:rPr>
          <w:rFonts w:hint="eastAsia"/>
          <w:lang w:val="en-US" w:eastAsia="zh-CN"/>
        </w:rPr>
      </w:pPr>
    </w:p>
    <w:p>
      <w:pPr>
        <w:pageBreakBefore w:val="0"/>
        <w:kinsoku/>
        <w:wordWrap/>
        <w:overflowPunct/>
        <w:topLinePunct w:val="0"/>
        <w:bidi w:val="0"/>
        <w:spacing w:line="340" w:lineRule="exact"/>
        <w:ind w:left="0" w:leftChars="0" w:firstLine="420" w:firstLineChars="200"/>
        <w:rPr>
          <w:rFonts w:hint="eastAsia"/>
          <w:lang w:val="en-US" w:eastAsia="zh-CN"/>
        </w:rPr>
      </w:pPr>
    </w:p>
    <w:p>
      <w:pPr>
        <w:pageBreakBefore w:val="0"/>
        <w:kinsoku/>
        <w:wordWrap/>
        <w:overflowPunct/>
        <w:topLinePunct w:val="0"/>
        <w:bidi w:val="0"/>
        <w:spacing w:line="340" w:lineRule="exact"/>
        <w:ind w:left="0" w:leftChars="0" w:firstLine="420" w:firstLineChars="200"/>
        <w:rPr>
          <w:rFonts w:hint="eastAsia"/>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1"/>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广东省河源监狱安防系统完善项目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1"/>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w:t>
      </w:r>
      <w:r>
        <w:rPr>
          <w:rFonts w:hint="eastAsia"/>
          <w:b w:val="0"/>
          <w:bCs w:val="0"/>
          <w:sz w:val="32"/>
          <w:szCs w:val="32"/>
        </w:rPr>
        <w:t>供应商资格声明函</w:t>
      </w:r>
      <w:r>
        <w:rPr>
          <w:rFonts w:hint="eastAsia" w:asciiTheme="minorEastAsia" w:hAnsiTheme="minorEastAsia" w:eastAsia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四、同类业绩</w:t>
      </w:r>
      <w:r>
        <w:rPr>
          <w:rFonts w:hint="eastAsia" w:asciiTheme="minorEastAsia" w:hAnsiTheme="minorEastAsia" w:cstheme="minorEastAsia"/>
          <w:b w:val="0"/>
          <w:bCs w:val="0"/>
          <w:color w:val="000000"/>
          <w:sz w:val="32"/>
          <w:szCs w:val="32"/>
          <w:lang w:val="en-US" w:eastAsia="zh-CN"/>
        </w:rPr>
        <w:t>合同</w:t>
      </w:r>
      <w:bookmarkStart w:id="0" w:name="_GoBack"/>
      <w:bookmarkEnd w:id="0"/>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七</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4"/>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4"/>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cstheme="minorEastAsia"/>
          <w:color w:val="000000" w:themeColor="text1"/>
          <w:sz w:val="21"/>
          <w:szCs w:val="21"/>
          <w:lang w:val="en-US" w:eastAsia="zh-CN"/>
          <w14:textFill>
            <w14:solidFill>
              <w14:schemeClr w14:val="tx1"/>
            </w14:solidFill>
          </w14:textFill>
        </w:rPr>
        <w:t>贵方</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广东省河源监狱安防系统完善项目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6"/>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广东省河源监狱安防系统完善项目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10"/>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u w:val="single"/>
          <w:lang w:val="en-US" w:eastAsia="zh-CN"/>
        </w:rPr>
        <w:t>广东省河源监狱</w:t>
      </w:r>
      <w:r>
        <w:rPr>
          <w:rFonts w:hint="eastAsia" w:asciiTheme="minorEastAsia" w:hAnsiTheme="minorEastAsia" w:cstheme="minorEastAsia"/>
          <w:sz w:val="21"/>
          <w:szCs w:val="21"/>
          <w:u w:val="single"/>
          <w:lang w:val="en-US" w:eastAsia="zh-CN"/>
        </w:rPr>
        <w:t>安防系统完善项目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竞价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r>
        <w:rPr>
          <w:rFonts w:hint="eastAsia"/>
          <w:lang w:eastAsia="zh-CN"/>
        </w:rPr>
        <w:t>（</w:t>
      </w:r>
      <w:r>
        <w:rPr>
          <w:rFonts w:hint="eastAsia"/>
          <w:lang w:val="en-US" w:eastAsia="zh-CN"/>
        </w:rPr>
        <w:t>详见同类业绩</w:t>
      </w:r>
      <w:r>
        <w:rPr>
          <w:rFonts w:hint="eastAsia"/>
          <w:lang w:eastAsia="zh-CN"/>
        </w:rPr>
        <w:t>）</w:t>
      </w:r>
      <w:r>
        <w:rPr>
          <w:rFonts w:hint="eastAsia"/>
        </w:rPr>
        <w:t>。</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4"/>
        </w:numPr>
        <w:kinsoku/>
        <w:wordWrap/>
        <w:overflowPunct/>
        <w:topLinePunct w:val="0"/>
        <w:bidi w:val="0"/>
        <w:spacing w:line="340" w:lineRule="exact"/>
        <w:ind w:left="11" w:leftChars="0"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4.同类业绩合同（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复印件加盖公章</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广东省河源监狱安防系统完善项目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5"/>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2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085"/>
        <w:gridCol w:w="1212"/>
        <w:gridCol w:w="3258"/>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719"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085"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12" w:type="dxa"/>
            <w:vAlign w:val="center"/>
          </w:tcPr>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3258"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单价下浮率报价</w:t>
            </w:r>
          </w:p>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w:t>
            </w:r>
          </w:p>
        </w:tc>
        <w:tc>
          <w:tcPr>
            <w:tcW w:w="1085"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719" w:type="dxa"/>
            <w:vAlign w:val="center"/>
          </w:tcPr>
          <w:p>
            <w:pPr>
              <w:pStyle w:val="10"/>
              <w:pageBreakBefore w:val="0"/>
              <w:kinsoku/>
              <w:wordWrap/>
              <w:overflowPunct/>
              <w:topLinePunct w:val="0"/>
              <w:bidi w:val="0"/>
              <w:spacing w:line="340" w:lineRule="exact"/>
              <w:jc w:val="both"/>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r>
              <w:rPr>
                <w:rFonts w:hint="eastAsia" w:asciiTheme="minorEastAsia" w:hAnsiTheme="minorEastAsia" w:cstheme="minorEastAsia"/>
                <w:sz w:val="28"/>
                <w:szCs w:val="28"/>
                <w:u w:val="none"/>
                <w:lang w:val="en-US" w:eastAsia="zh-CN"/>
              </w:rPr>
              <w:t>广东省河源监狱安防系统完善项目</w:t>
            </w:r>
          </w:p>
        </w:tc>
        <w:tc>
          <w:tcPr>
            <w:tcW w:w="1085"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12"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3258"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default" w:asciiTheme="minorEastAsia" w:hAnsiTheme="minorEastAsia" w:cstheme="minorEastAsia"/>
                <w:color w:val="000000" w:themeColor="text1"/>
                <w:sz w:val="28"/>
                <w:szCs w:val="28"/>
                <w:u w:val="singl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大写：百分之</w:t>
            </w:r>
            <w:r>
              <w:rPr>
                <w:rFonts w:hint="eastAsia" w:asciiTheme="minorEastAsia" w:hAnsiTheme="minorEastAsia" w:cstheme="minorEastAsia"/>
                <w:color w:val="000000" w:themeColor="text1"/>
                <w:sz w:val="28"/>
                <w:szCs w:val="28"/>
                <w:u w:val="single"/>
                <w:vertAlign w:val="baseline"/>
                <w:lang w:val="en-US" w:eastAsia="zh-CN"/>
                <w14:textFill>
                  <w14:solidFill>
                    <w14:schemeClr w14:val="tx1"/>
                  </w14:solidFill>
                </w14:textFill>
              </w:rPr>
              <w:t xml:space="preserve">         </w:t>
            </w:r>
          </w:p>
          <w:p>
            <w:pPr>
              <w:pStyle w:val="10"/>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default" w:asciiTheme="minorEastAsia" w:hAnsiTheme="minorEastAsia" w:eastAsiaTheme="minorEastAsia" w:cstheme="minorEastAsia"/>
                <w:color w:val="000000" w:themeColor="text1"/>
                <w:sz w:val="28"/>
                <w:szCs w:val="28"/>
                <w:vertAlign w:val="baseline"/>
                <w:lang w:val="en-US"/>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小写：</w:t>
            </w:r>
            <w:r>
              <w:rPr>
                <w:rFonts w:hint="eastAsia" w:asciiTheme="minorEastAsia" w:hAnsiTheme="minorEastAsia" w:cstheme="minorEastAsia"/>
                <w:color w:val="000000" w:themeColor="text1"/>
                <w:sz w:val="28"/>
                <w:szCs w:val="28"/>
                <w:u w:val="single"/>
                <w:vertAlign w:val="baselin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u w:val="none"/>
                <w:vertAlign w:val="baseline"/>
                <w:lang w:val="en-US" w:eastAsia="zh-CN"/>
                <w14:textFill>
                  <w14:solidFill>
                    <w14:schemeClr w14:val="tx1"/>
                  </w14:solidFill>
                </w14:textFill>
              </w:rPr>
              <w:t>%</w:t>
            </w: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085"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pageBreakBefore w:val="0"/>
        <w:kinsoku/>
        <w:wordWrap/>
        <w:overflowPunct/>
        <w:topLinePunct w:val="0"/>
        <w:bidi w:val="0"/>
        <w:spacing w:line="340" w:lineRule="exact"/>
        <w:rPr>
          <w:rFonts w:hint="eastAsia" w:ascii="宋体" w:hAnsi="宋体"/>
          <w:b w:val="0"/>
          <w:bCs/>
          <w:spacing w:val="4"/>
          <w:sz w:val="21"/>
          <w:szCs w:val="21"/>
        </w:rPr>
      </w:pPr>
    </w:p>
    <w:p>
      <w:pPr>
        <w:pageBreakBefore w:val="0"/>
        <w:kinsoku/>
        <w:wordWrap/>
        <w:overflowPunct/>
        <w:topLinePunct w:val="0"/>
        <w:bidi w:val="0"/>
        <w:spacing w:line="340" w:lineRule="exact"/>
        <w:rPr>
          <w:rFonts w:ascii="宋体" w:hAnsi="宋体"/>
          <w:b w:val="0"/>
          <w:bCs/>
          <w:spacing w:val="4"/>
          <w:sz w:val="21"/>
          <w:szCs w:val="21"/>
        </w:rPr>
      </w:pPr>
      <w:r>
        <w:rPr>
          <w:rFonts w:hint="eastAsia" w:ascii="宋体" w:hAnsi="宋体"/>
          <w:b w:val="0"/>
          <w:bCs/>
          <w:spacing w:val="4"/>
          <w:sz w:val="21"/>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b w:val="0"/>
          <w:bCs/>
          <w:color w:val="auto"/>
          <w:sz w:val="21"/>
          <w:szCs w:val="21"/>
          <w:u w:val="none"/>
          <w:lang w:val="en-US" w:eastAsia="zh-CN"/>
        </w:rPr>
      </w:pPr>
      <w:r>
        <w:rPr>
          <w:rFonts w:hint="eastAsia" w:asciiTheme="minorEastAsia" w:hAnsiTheme="minorEastAsia"/>
          <w:b w:val="0"/>
          <w:bCs/>
          <w:color w:val="auto"/>
          <w:sz w:val="21"/>
          <w:szCs w:val="21"/>
          <w:highlight w:val="none"/>
          <w:u w:val="none"/>
          <w:lang w:val="en-US" w:eastAsia="zh-CN"/>
        </w:rPr>
        <w:t>2.</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包含产品价格、</w:t>
      </w:r>
      <w:r>
        <w:rPr>
          <w:rFonts w:hint="eastAsia" w:ascii="宋体" w:hAnsi="宋体"/>
          <w:b w:val="0"/>
          <w:bCs/>
          <w:spacing w:val="4"/>
          <w:sz w:val="21"/>
          <w:szCs w:val="21"/>
          <w:u w:val="none"/>
          <w:lang w:eastAsia="zh-CN"/>
        </w:rPr>
        <w:t>运输、</w:t>
      </w:r>
      <w:r>
        <w:rPr>
          <w:rFonts w:hint="eastAsia" w:ascii="宋体" w:hAnsi="宋体"/>
          <w:b w:val="0"/>
          <w:bCs/>
          <w:spacing w:val="4"/>
          <w:sz w:val="21"/>
          <w:szCs w:val="21"/>
          <w:u w:val="none"/>
          <w:lang w:val="en-US" w:eastAsia="zh-CN"/>
        </w:rPr>
        <w:t>人工、安全、</w:t>
      </w:r>
      <w:r>
        <w:rPr>
          <w:rFonts w:hint="eastAsia" w:ascii="宋体" w:hAnsi="宋体"/>
          <w:b w:val="0"/>
          <w:bCs/>
          <w:spacing w:val="4"/>
          <w:sz w:val="21"/>
          <w:szCs w:val="21"/>
          <w:u w:val="none"/>
        </w:rPr>
        <w:t>税金等一切费用</w:t>
      </w:r>
      <w:r>
        <w:rPr>
          <w:rFonts w:hint="eastAsia" w:ascii="宋体" w:hAnsi="宋体"/>
          <w:b w:val="0"/>
          <w:bCs/>
          <w:spacing w:val="4"/>
          <w:sz w:val="21"/>
          <w:szCs w:val="21"/>
          <w:u w:val="none"/>
          <w:lang w:val="en-US" w:eastAsia="zh-CN"/>
        </w:rPr>
        <w:t>；</w:t>
      </w:r>
    </w:p>
    <w:p>
      <w:pPr>
        <w:widowControl/>
        <w:numPr>
          <w:ilvl w:val="0"/>
          <w:numId w:val="0"/>
        </w:numPr>
        <w:shd w:val="clear" w:color="auto" w:fill="FFFFFF"/>
        <w:spacing w:line="276" w:lineRule="auto"/>
        <w:ind w:left="0" w:leftChars="0" w:firstLine="420" w:firstLineChars="200"/>
        <w:jc w:val="left"/>
        <w:rPr>
          <w:rFonts w:ascii="宋体" w:hAnsi="宋体"/>
          <w:b w:val="0"/>
          <w:bCs/>
          <w:color w:val="auto"/>
          <w:u w:val="none"/>
        </w:rPr>
      </w:pPr>
      <w:r>
        <w:rPr>
          <w:rFonts w:hint="eastAsia" w:ascii="宋体" w:hAnsi="宋体"/>
          <w:b w:val="0"/>
          <w:bCs/>
          <w:color w:val="auto"/>
          <w:u w:val="none"/>
          <w:lang w:val="en-US" w:eastAsia="zh-CN"/>
        </w:rPr>
        <w:t>3.</w:t>
      </w:r>
      <w:r>
        <w:rPr>
          <w:rFonts w:ascii="宋体" w:hAnsi="宋体"/>
          <w:b w:val="0"/>
          <w:bCs/>
          <w:color w:val="auto"/>
          <w:u w:val="none"/>
        </w:rPr>
        <w:t>下浮率报价</w:t>
      </w:r>
      <w:r>
        <w:rPr>
          <w:rFonts w:hint="eastAsia" w:ascii="宋体" w:hAnsi="宋体"/>
          <w:b w:val="0"/>
          <w:bCs/>
          <w:color w:val="auto"/>
          <w:u w:val="none"/>
          <w:lang w:val="en-US" w:eastAsia="zh-CN"/>
        </w:rPr>
        <w:t>不得</w:t>
      </w:r>
      <w:r>
        <w:rPr>
          <w:rFonts w:ascii="宋体" w:hAnsi="宋体"/>
          <w:b w:val="0"/>
          <w:bCs/>
          <w:color w:val="auto"/>
          <w:u w:val="none"/>
        </w:rPr>
        <w:t>大于或等于</w:t>
      </w:r>
      <w:r>
        <w:rPr>
          <w:rFonts w:hint="eastAsia" w:ascii="宋体" w:hAnsi="宋体"/>
          <w:b w:val="0"/>
          <w:bCs/>
          <w:color w:val="auto"/>
          <w:u w:val="none"/>
        </w:rPr>
        <w:t>100</w:t>
      </w:r>
      <w:r>
        <w:rPr>
          <w:rFonts w:ascii="宋体" w:hAnsi="宋体"/>
          <w:b w:val="0"/>
          <w:bCs/>
          <w:color w:val="auto"/>
          <w:u w:val="none"/>
        </w:rPr>
        <w:t>%，也</w:t>
      </w:r>
      <w:r>
        <w:rPr>
          <w:rFonts w:hint="eastAsia" w:ascii="宋体" w:hAnsi="宋体"/>
          <w:b w:val="0"/>
          <w:bCs/>
          <w:color w:val="auto"/>
          <w:u w:val="none"/>
          <w:lang w:val="en-US" w:eastAsia="zh-CN"/>
        </w:rPr>
        <w:t>不得</w:t>
      </w:r>
      <w:r>
        <w:rPr>
          <w:rFonts w:ascii="宋体" w:hAnsi="宋体"/>
          <w:b w:val="0"/>
          <w:bCs/>
          <w:color w:val="auto"/>
          <w:u w:val="none"/>
        </w:rPr>
        <w:t>为负数，且是固定唯一值的，否则为无效报价</w:t>
      </w:r>
      <w:r>
        <w:rPr>
          <w:rFonts w:hint="eastAsia" w:ascii="宋体" w:hAnsi="宋体"/>
          <w:b w:val="0"/>
          <w:bCs/>
          <w:color w:val="auto"/>
          <w:u w:val="none"/>
          <w:lang w:val="en-US" w:eastAsia="zh-CN"/>
        </w:rPr>
        <w:t>；</w:t>
      </w:r>
      <w:r>
        <w:rPr>
          <w:rFonts w:hint="eastAsia" w:ascii="宋体" w:hAnsi="宋体"/>
          <w:b w:val="0"/>
          <w:bCs/>
          <w:color w:val="auto"/>
          <w:u w:val="none"/>
        </w:rPr>
        <w:t>下浮率</w:t>
      </w:r>
      <w:r>
        <w:rPr>
          <w:rFonts w:hint="eastAsia" w:ascii="宋体" w:hAnsi="宋体"/>
          <w:b w:val="0"/>
          <w:bCs/>
          <w:color w:val="auto"/>
          <w:u w:val="none"/>
          <w:lang w:val="en-US" w:eastAsia="zh-CN"/>
        </w:rPr>
        <w:t>最</w:t>
      </w:r>
      <w:r>
        <w:rPr>
          <w:rFonts w:hint="eastAsia" w:ascii="宋体" w:hAnsi="宋体"/>
          <w:b w:val="0"/>
          <w:bCs/>
          <w:color w:val="auto"/>
          <w:u w:val="none"/>
        </w:rPr>
        <w:t>高的为成交供应商</w:t>
      </w:r>
      <w:r>
        <w:rPr>
          <w:rFonts w:hint="eastAsia" w:ascii="宋体" w:hAnsi="宋体"/>
          <w:b w:val="0"/>
          <w:bCs/>
          <w:color w:val="auto"/>
          <w:u w:val="none"/>
          <w:lang w:eastAsia="zh-CN"/>
        </w:rPr>
        <w:t>（</w:t>
      </w:r>
      <w:r>
        <w:rPr>
          <w:rFonts w:hint="eastAsia" w:ascii="宋体" w:hAnsi="宋体"/>
          <w:b/>
          <w:bCs w:val="0"/>
          <w:color w:val="auto"/>
          <w:u w:val="single"/>
          <w:lang w:val="en-US" w:eastAsia="zh-CN"/>
        </w:rPr>
        <w:t>项目清单D项绿色施工安全防护措施费和其他措施费14,877.14元不参与下浮</w:t>
      </w:r>
      <w:r>
        <w:rPr>
          <w:rFonts w:hint="eastAsia" w:ascii="宋体" w:hAnsi="宋体"/>
          <w:b w:val="0"/>
          <w:bCs/>
          <w:color w:val="auto"/>
          <w:u w:val="none"/>
          <w:lang w:val="en-US" w:eastAsia="zh-CN"/>
        </w:rPr>
        <w:t>）</w:t>
      </w:r>
      <w:r>
        <w:rPr>
          <w:rFonts w:hint="eastAsia" w:ascii="宋体" w:hAnsi="宋体"/>
          <w:b w:val="0"/>
          <w:bCs/>
          <w:color w:val="auto"/>
          <w:u w:val="none"/>
        </w:rPr>
        <w:t>。供应商所报下浮率为成交下浮率，即：</w:t>
      </w:r>
      <w:r>
        <w:rPr>
          <w:rFonts w:hint="eastAsia" w:ascii="宋体" w:hAnsi="宋体"/>
          <w:b/>
          <w:bCs w:val="0"/>
          <w:color w:val="auto"/>
          <w:u w:val="single"/>
        </w:rPr>
        <w:t>合同</w:t>
      </w:r>
      <w:r>
        <w:rPr>
          <w:rFonts w:hint="eastAsia" w:ascii="宋体" w:hAnsi="宋体"/>
          <w:b/>
          <w:bCs w:val="0"/>
          <w:color w:val="auto"/>
          <w:u w:val="single"/>
          <w:lang w:val="en-US" w:eastAsia="zh-CN"/>
        </w:rPr>
        <w:t>成交</w:t>
      </w:r>
      <w:r>
        <w:rPr>
          <w:rFonts w:hint="eastAsia" w:ascii="宋体" w:hAnsi="宋体"/>
          <w:b/>
          <w:bCs w:val="0"/>
          <w:color w:val="auto"/>
          <w:u w:val="single"/>
        </w:rPr>
        <w:t>单价</w:t>
      </w:r>
      <w:r>
        <w:rPr>
          <w:rFonts w:hint="eastAsia" w:ascii="宋体" w:hAnsi="宋体"/>
          <w:b/>
          <w:bCs w:val="0"/>
          <w:color w:val="auto"/>
          <w:u w:val="single"/>
          <w:lang w:val="en-US" w:eastAsia="zh-CN"/>
        </w:rPr>
        <w:t>=单价</w:t>
      </w:r>
      <w:r>
        <w:rPr>
          <w:rFonts w:hint="eastAsia" w:ascii="宋体" w:hAnsi="宋体"/>
          <w:b/>
          <w:bCs w:val="0"/>
          <w:color w:val="auto"/>
          <w:u w:val="single"/>
        </w:rPr>
        <w:t>最高</w:t>
      </w:r>
      <w:r>
        <w:rPr>
          <w:rFonts w:ascii="宋体" w:hAnsi="宋体"/>
          <w:b/>
          <w:bCs w:val="0"/>
          <w:color w:val="auto"/>
          <w:u w:val="single"/>
        </w:rPr>
        <w:t>限价*</w:t>
      </w:r>
      <w:r>
        <w:rPr>
          <w:rFonts w:hint="eastAsia" w:ascii="宋体" w:hAnsi="宋体"/>
          <w:b/>
          <w:bCs w:val="0"/>
          <w:color w:val="auto"/>
          <w:u w:val="single"/>
        </w:rPr>
        <w:t>（1</w:t>
      </w:r>
      <w:r>
        <w:rPr>
          <w:rFonts w:hint="eastAsia" w:ascii="宋体" w:hAnsi="宋体"/>
          <w:b/>
          <w:bCs w:val="0"/>
          <w:color w:val="auto"/>
          <w:u w:val="single"/>
          <w:lang w:val="en-US" w:eastAsia="zh-CN"/>
        </w:rPr>
        <w:t>-单价</w:t>
      </w:r>
      <w:r>
        <w:rPr>
          <w:rFonts w:ascii="宋体" w:hAnsi="宋体"/>
          <w:b/>
          <w:bCs w:val="0"/>
          <w:color w:val="auto"/>
          <w:u w:val="single"/>
        </w:rPr>
        <w:t>下浮率</w:t>
      </w:r>
      <w:r>
        <w:rPr>
          <w:rFonts w:hint="eastAsia" w:ascii="宋体" w:hAnsi="宋体"/>
          <w:b/>
          <w:bCs w:val="0"/>
          <w:color w:val="auto"/>
          <w:u w:val="single"/>
        </w:rPr>
        <w:t>）</w:t>
      </w:r>
      <w:r>
        <w:rPr>
          <w:rFonts w:ascii="宋体" w:hAnsi="宋体"/>
          <w:b w:val="0"/>
          <w:bCs/>
          <w:color w:val="auto"/>
          <w:u w:val="none"/>
        </w:rPr>
        <w:t>；</w:t>
      </w:r>
      <w:r>
        <w:rPr>
          <w:rFonts w:hint="eastAsia" w:asciiTheme="minorEastAsia" w:hAnsiTheme="minorEastAsia" w:eastAsiaTheme="minorEastAsia"/>
          <w:b w:val="0"/>
          <w:bCs/>
          <w:color w:val="auto"/>
          <w:sz w:val="21"/>
          <w:szCs w:val="21"/>
          <w:highlight w:val="none"/>
          <w:u w:val="none"/>
        </w:rPr>
        <w:t>下浮后</w:t>
      </w:r>
      <w:r>
        <w:rPr>
          <w:rFonts w:hint="eastAsia" w:asciiTheme="minorEastAsia" w:hAnsiTheme="minorEastAsia"/>
          <w:b w:val="0"/>
          <w:bCs/>
          <w:color w:val="auto"/>
          <w:sz w:val="21"/>
          <w:szCs w:val="21"/>
          <w:highlight w:val="none"/>
          <w:u w:val="none"/>
          <w:lang w:val="en-US" w:eastAsia="zh-CN"/>
        </w:rPr>
        <w:t>成交</w:t>
      </w:r>
      <w:r>
        <w:rPr>
          <w:rFonts w:hint="eastAsia" w:asciiTheme="minorEastAsia" w:hAnsiTheme="minorEastAsia" w:eastAsiaTheme="minorEastAsia"/>
          <w:b w:val="0"/>
          <w:bCs/>
          <w:color w:val="auto"/>
          <w:sz w:val="21"/>
          <w:szCs w:val="21"/>
          <w:highlight w:val="none"/>
          <w:u w:val="none"/>
        </w:rPr>
        <w:t>单价保留</w:t>
      </w:r>
      <w:r>
        <w:rPr>
          <w:rFonts w:hint="eastAsia" w:asciiTheme="minorEastAsia" w:hAnsiTheme="minorEastAsia"/>
          <w:b w:val="0"/>
          <w:bCs/>
          <w:color w:val="auto"/>
          <w:sz w:val="21"/>
          <w:szCs w:val="21"/>
          <w:highlight w:val="none"/>
          <w:u w:val="none"/>
          <w:lang w:val="en-US" w:eastAsia="zh-CN"/>
        </w:rPr>
        <w:t>两</w:t>
      </w:r>
      <w:r>
        <w:rPr>
          <w:rFonts w:hint="eastAsia" w:asciiTheme="minorEastAsia" w:hAnsiTheme="minorEastAsia" w:eastAsiaTheme="minorEastAsia"/>
          <w:b w:val="0"/>
          <w:bCs/>
          <w:color w:val="auto"/>
          <w:sz w:val="21"/>
          <w:szCs w:val="21"/>
          <w:highlight w:val="none"/>
          <w:u w:val="none"/>
        </w:rPr>
        <w:t>位小数点（四舍五入）；</w:t>
      </w:r>
      <w:r>
        <w:rPr>
          <w:rFonts w:ascii="宋体" w:hAnsi="宋体"/>
          <w:b w:val="0"/>
          <w:bCs/>
          <w:color w:val="auto"/>
          <w:u w:val="none"/>
        </w:rPr>
        <w:t>在本项目合同服务履行期间，该下浮率不作另行调整；</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bCs w:val="0"/>
          <w:color w:val="auto"/>
          <w:sz w:val="21"/>
          <w:szCs w:val="21"/>
          <w:u w:val="single"/>
          <w:lang w:eastAsia="zh-CN"/>
        </w:rPr>
      </w:pPr>
      <w:r>
        <w:rPr>
          <w:rFonts w:hint="eastAsia" w:asciiTheme="minorEastAsia" w:hAnsiTheme="minorEastAsia" w:cstheme="minorEastAsia"/>
          <w:b w:val="0"/>
          <w:bCs/>
          <w:color w:val="auto"/>
          <w:sz w:val="21"/>
          <w:szCs w:val="21"/>
          <w:u w:val="none"/>
          <w:lang w:val="en-US" w:eastAsia="zh-CN"/>
        </w:rPr>
        <w:t>4</w:t>
      </w:r>
      <w:r>
        <w:rPr>
          <w:rFonts w:hint="eastAsia" w:asciiTheme="minorEastAsia" w:hAnsiTheme="minorEastAsia" w:eastAsiaTheme="minorEastAsia" w:cstheme="minorEastAsia"/>
          <w:b w:val="0"/>
          <w:bCs/>
          <w:color w:val="auto"/>
          <w:sz w:val="21"/>
          <w:szCs w:val="21"/>
          <w:u w:val="none"/>
          <w:lang w:val="en-US" w:eastAsia="zh-CN"/>
        </w:rPr>
        <w:t>.</w:t>
      </w:r>
      <w:r>
        <w:rPr>
          <w:rFonts w:hint="eastAsia" w:asciiTheme="minorEastAsia" w:hAnsiTheme="minorEastAsia" w:eastAsiaTheme="minorEastAsia" w:cstheme="minorEastAsia"/>
          <w:b w:val="0"/>
          <w:bCs/>
          <w:color w:val="auto"/>
          <w:sz w:val="21"/>
          <w:szCs w:val="21"/>
        </w:rPr>
        <w:t>本项目不接受有选择性的报价，只允许报一个下浮率，</w:t>
      </w:r>
      <w:r>
        <w:rPr>
          <w:rFonts w:hint="eastAsia" w:asciiTheme="minorEastAsia" w:hAnsiTheme="minorEastAsia" w:eastAsiaTheme="minorEastAsia" w:cstheme="minorEastAsia"/>
          <w:b/>
          <w:bCs w:val="0"/>
          <w:color w:val="auto"/>
          <w:sz w:val="21"/>
          <w:szCs w:val="21"/>
          <w:u w:val="single"/>
        </w:rPr>
        <w:t>所报的下浮率适用</w:t>
      </w:r>
      <w:r>
        <w:rPr>
          <w:rFonts w:hint="eastAsia" w:asciiTheme="minorEastAsia" w:hAnsiTheme="minorEastAsia" w:cstheme="minorEastAsia"/>
          <w:b/>
          <w:bCs w:val="0"/>
          <w:color w:val="auto"/>
          <w:sz w:val="21"/>
          <w:szCs w:val="21"/>
          <w:u w:val="single"/>
          <w:lang w:val="en-US" w:eastAsia="zh-CN"/>
        </w:rPr>
        <w:t>采购清单</w:t>
      </w:r>
      <w:r>
        <w:rPr>
          <w:rFonts w:hint="eastAsia" w:asciiTheme="minorEastAsia" w:hAnsiTheme="minorEastAsia" w:eastAsiaTheme="minorEastAsia" w:cstheme="minorEastAsia"/>
          <w:b/>
          <w:bCs w:val="0"/>
          <w:color w:val="auto"/>
          <w:sz w:val="21"/>
          <w:szCs w:val="21"/>
          <w:u w:val="single"/>
        </w:rPr>
        <w:t>所有</w:t>
      </w:r>
      <w:r>
        <w:rPr>
          <w:rFonts w:hint="eastAsia" w:asciiTheme="minorEastAsia" w:hAnsiTheme="minorEastAsia" w:cstheme="minorEastAsia"/>
          <w:b/>
          <w:bCs w:val="0"/>
          <w:color w:val="auto"/>
          <w:sz w:val="21"/>
          <w:szCs w:val="21"/>
          <w:u w:val="single"/>
          <w:lang w:val="en-US" w:eastAsia="zh-CN"/>
        </w:rPr>
        <w:t>项目内容</w:t>
      </w:r>
      <w:r>
        <w:rPr>
          <w:rFonts w:hint="eastAsia" w:asciiTheme="minorEastAsia" w:hAnsiTheme="minorEastAsia" w:eastAsiaTheme="minorEastAsia" w:cstheme="minorEastAsia"/>
          <w:b/>
          <w:bCs w:val="0"/>
          <w:color w:val="auto"/>
          <w:sz w:val="21"/>
          <w:szCs w:val="21"/>
          <w:u w:val="single"/>
          <w:lang w:eastAsia="zh-CN"/>
        </w:rPr>
        <w:t>。</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21"/>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ED5C8"/>
    <w:multiLevelType w:val="multilevel"/>
    <w:tmpl w:val="BCFED5C8"/>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20C1CED"/>
    <w:multiLevelType w:val="singleLevel"/>
    <w:tmpl w:val="F20C1CED"/>
    <w:lvl w:ilvl="0" w:tentative="0">
      <w:start w:val="3"/>
      <w:numFmt w:val="chineseCounting"/>
      <w:suff w:val="nothing"/>
      <w:lvlText w:val="%1、"/>
      <w:lvlJc w:val="left"/>
      <w:rPr>
        <w:rFonts w:hint="eastAsia"/>
      </w:rPr>
    </w:lvl>
  </w:abstractNum>
  <w:abstractNum w:abstractNumId="2">
    <w:nsid w:val="11336460"/>
    <w:multiLevelType w:val="singleLevel"/>
    <w:tmpl w:val="11336460"/>
    <w:lvl w:ilvl="0" w:tentative="0">
      <w:start w:val="1"/>
      <w:numFmt w:val="chineseCounting"/>
      <w:suff w:val="space"/>
      <w:lvlText w:val="第%1章"/>
      <w:lvlJc w:val="left"/>
      <w:rPr>
        <w:rFonts w:hint="eastAsia"/>
      </w:rPr>
    </w:lvl>
  </w:abstractNum>
  <w:abstractNum w:abstractNumId="3">
    <w:nsid w:val="36A5433C"/>
    <w:multiLevelType w:val="singleLevel"/>
    <w:tmpl w:val="36A5433C"/>
    <w:lvl w:ilvl="0" w:tentative="0">
      <w:start w:val="2"/>
      <w:numFmt w:val="chineseCounting"/>
      <w:suff w:val="nothing"/>
      <w:lvlText w:val="（%1）"/>
      <w:lvlJc w:val="left"/>
      <w:rPr>
        <w:rFonts w:hint="eastAsia"/>
      </w:rPr>
    </w:lvl>
  </w:abstractNum>
  <w:abstractNum w:abstractNumId="4">
    <w:nsid w:val="61671A87"/>
    <w:multiLevelType w:val="singleLevel"/>
    <w:tmpl w:val="61671A87"/>
    <w:lvl w:ilvl="0" w:tentative="0">
      <w:start w:val="3"/>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CB5EF6"/>
    <w:rsid w:val="00E21113"/>
    <w:rsid w:val="00EE48ED"/>
    <w:rsid w:val="0155715C"/>
    <w:rsid w:val="01C728D0"/>
    <w:rsid w:val="02C06004"/>
    <w:rsid w:val="03356B49"/>
    <w:rsid w:val="04C27B6C"/>
    <w:rsid w:val="05601E08"/>
    <w:rsid w:val="059000B3"/>
    <w:rsid w:val="0740412F"/>
    <w:rsid w:val="07A40D36"/>
    <w:rsid w:val="07AD7D48"/>
    <w:rsid w:val="084E3E36"/>
    <w:rsid w:val="08F6786C"/>
    <w:rsid w:val="09C22DF1"/>
    <w:rsid w:val="0B3C2B55"/>
    <w:rsid w:val="0B4779F5"/>
    <w:rsid w:val="0BC5664A"/>
    <w:rsid w:val="0BDA4A8E"/>
    <w:rsid w:val="0C373B85"/>
    <w:rsid w:val="0CAD59F1"/>
    <w:rsid w:val="0D226E45"/>
    <w:rsid w:val="0D934A87"/>
    <w:rsid w:val="0F1B3E67"/>
    <w:rsid w:val="10662DEA"/>
    <w:rsid w:val="10745D84"/>
    <w:rsid w:val="107648AC"/>
    <w:rsid w:val="11B25927"/>
    <w:rsid w:val="11F65C3B"/>
    <w:rsid w:val="123D6A4D"/>
    <w:rsid w:val="1274634C"/>
    <w:rsid w:val="131902D0"/>
    <w:rsid w:val="1397165D"/>
    <w:rsid w:val="14F77FDF"/>
    <w:rsid w:val="16737FD7"/>
    <w:rsid w:val="16F50701"/>
    <w:rsid w:val="180320E6"/>
    <w:rsid w:val="186D7D0F"/>
    <w:rsid w:val="19C1544E"/>
    <w:rsid w:val="19DA1D52"/>
    <w:rsid w:val="1B34727B"/>
    <w:rsid w:val="1B8637C9"/>
    <w:rsid w:val="1BED1A6A"/>
    <w:rsid w:val="1BFA5FCE"/>
    <w:rsid w:val="1C4818B8"/>
    <w:rsid w:val="1E0A1FE4"/>
    <w:rsid w:val="20947A18"/>
    <w:rsid w:val="21A03B8D"/>
    <w:rsid w:val="21A3268F"/>
    <w:rsid w:val="21C36F1F"/>
    <w:rsid w:val="21F7526F"/>
    <w:rsid w:val="23500C8A"/>
    <w:rsid w:val="255C570C"/>
    <w:rsid w:val="25E67716"/>
    <w:rsid w:val="264F26CE"/>
    <w:rsid w:val="265E0F6A"/>
    <w:rsid w:val="28A27EE1"/>
    <w:rsid w:val="29251E59"/>
    <w:rsid w:val="29421331"/>
    <w:rsid w:val="29AE135E"/>
    <w:rsid w:val="29EE0735"/>
    <w:rsid w:val="2AA661B2"/>
    <w:rsid w:val="2C3604EF"/>
    <w:rsid w:val="2C627AC8"/>
    <w:rsid w:val="2D5007B8"/>
    <w:rsid w:val="2D7B5115"/>
    <w:rsid w:val="2DBC2E0A"/>
    <w:rsid w:val="2F062F75"/>
    <w:rsid w:val="2F2F0429"/>
    <w:rsid w:val="2FB478F7"/>
    <w:rsid w:val="2FC95D81"/>
    <w:rsid w:val="303B299D"/>
    <w:rsid w:val="3058137B"/>
    <w:rsid w:val="31006CD9"/>
    <w:rsid w:val="31041AAE"/>
    <w:rsid w:val="310606C6"/>
    <w:rsid w:val="31760054"/>
    <w:rsid w:val="318656D8"/>
    <w:rsid w:val="325231EF"/>
    <w:rsid w:val="332D2CD8"/>
    <w:rsid w:val="33597986"/>
    <w:rsid w:val="34364FAB"/>
    <w:rsid w:val="36843AE7"/>
    <w:rsid w:val="37B54E1D"/>
    <w:rsid w:val="37B81BEC"/>
    <w:rsid w:val="38430852"/>
    <w:rsid w:val="38787AEA"/>
    <w:rsid w:val="38F92A66"/>
    <w:rsid w:val="3A8676EF"/>
    <w:rsid w:val="3ADC47D3"/>
    <w:rsid w:val="3B0E690B"/>
    <w:rsid w:val="3DC84A9A"/>
    <w:rsid w:val="3DFE6052"/>
    <w:rsid w:val="3EF24ED3"/>
    <w:rsid w:val="3FB21705"/>
    <w:rsid w:val="3FD71E2F"/>
    <w:rsid w:val="3FE77A82"/>
    <w:rsid w:val="4017186C"/>
    <w:rsid w:val="412B3BD0"/>
    <w:rsid w:val="41711287"/>
    <w:rsid w:val="435726A3"/>
    <w:rsid w:val="43F7549F"/>
    <w:rsid w:val="44074471"/>
    <w:rsid w:val="46024A63"/>
    <w:rsid w:val="468E2CEF"/>
    <w:rsid w:val="46ED7BF7"/>
    <w:rsid w:val="47007902"/>
    <w:rsid w:val="494C2B06"/>
    <w:rsid w:val="4989289F"/>
    <w:rsid w:val="4A2D61AA"/>
    <w:rsid w:val="4B1B2583"/>
    <w:rsid w:val="4C7B4010"/>
    <w:rsid w:val="4CB04959"/>
    <w:rsid w:val="4D39366C"/>
    <w:rsid w:val="4D4A51B9"/>
    <w:rsid w:val="4D7805B5"/>
    <w:rsid w:val="4E306D68"/>
    <w:rsid w:val="4EB20057"/>
    <w:rsid w:val="4F3E14BF"/>
    <w:rsid w:val="4FB67A4E"/>
    <w:rsid w:val="50022F29"/>
    <w:rsid w:val="50D85556"/>
    <w:rsid w:val="50F9713C"/>
    <w:rsid w:val="515E7A70"/>
    <w:rsid w:val="517B4F66"/>
    <w:rsid w:val="5209190E"/>
    <w:rsid w:val="53B264F4"/>
    <w:rsid w:val="54117BA3"/>
    <w:rsid w:val="54561298"/>
    <w:rsid w:val="54B57A63"/>
    <w:rsid w:val="55B47A73"/>
    <w:rsid w:val="569F7A39"/>
    <w:rsid w:val="577B5528"/>
    <w:rsid w:val="587B3035"/>
    <w:rsid w:val="59F138CC"/>
    <w:rsid w:val="5AB76B2C"/>
    <w:rsid w:val="5ACF512A"/>
    <w:rsid w:val="5B4065D1"/>
    <w:rsid w:val="5B4A21F6"/>
    <w:rsid w:val="5C3C3636"/>
    <w:rsid w:val="5CA85FC8"/>
    <w:rsid w:val="5EB66D4F"/>
    <w:rsid w:val="601F6302"/>
    <w:rsid w:val="605C1293"/>
    <w:rsid w:val="61173B32"/>
    <w:rsid w:val="619F122B"/>
    <w:rsid w:val="63257394"/>
    <w:rsid w:val="63B9340E"/>
    <w:rsid w:val="63DB0545"/>
    <w:rsid w:val="6455458D"/>
    <w:rsid w:val="65B94EC2"/>
    <w:rsid w:val="692C1847"/>
    <w:rsid w:val="698F20E1"/>
    <w:rsid w:val="69CB1013"/>
    <w:rsid w:val="69F5326C"/>
    <w:rsid w:val="6A6A3C88"/>
    <w:rsid w:val="6BC46931"/>
    <w:rsid w:val="6D0D7448"/>
    <w:rsid w:val="6E3C39C3"/>
    <w:rsid w:val="6F8E3FB3"/>
    <w:rsid w:val="703334D2"/>
    <w:rsid w:val="70391CB1"/>
    <w:rsid w:val="710A6422"/>
    <w:rsid w:val="71AD6345"/>
    <w:rsid w:val="71BF53D6"/>
    <w:rsid w:val="71ED654D"/>
    <w:rsid w:val="720C154E"/>
    <w:rsid w:val="72150491"/>
    <w:rsid w:val="721A1E72"/>
    <w:rsid w:val="72F025FA"/>
    <w:rsid w:val="735340BF"/>
    <w:rsid w:val="73656151"/>
    <w:rsid w:val="74247691"/>
    <w:rsid w:val="745449E5"/>
    <w:rsid w:val="74747C07"/>
    <w:rsid w:val="74FC0165"/>
    <w:rsid w:val="762A42EA"/>
    <w:rsid w:val="77192436"/>
    <w:rsid w:val="77350F71"/>
    <w:rsid w:val="7745190F"/>
    <w:rsid w:val="77624E4A"/>
    <w:rsid w:val="77904BBB"/>
    <w:rsid w:val="77FF0EFA"/>
    <w:rsid w:val="78F4799D"/>
    <w:rsid w:val="7DAC5C69"/>
    <w:rsid w:val="7EC040B2"/>
    <w:rsid w:val="7F312660"/>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szCs w:val="24"/>
    </w:rPr>
  </w:style>
  <w:style w:type="paragraph" w:styleId="6">
    <w:name w:val="Normal Indent"/>
    <w:basedOn w:val="1"/>
    <w:qFormat/>
    <w:uiPriority w:val="0"/>
    <w:pPr>
      <w:ind w:firstLine="420"/>
    </w:pPr>
    <w:rPr>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toc 2"/>
    <w:basedOn w:val="1"/>
    <w:next w:val="1"/>
    <w:unhideWhenUsed/>
    <w:qFormat/>
    <w:uiPriority w:val="39"/>
    <w:pPr>
      <w:ind w:left="420" w:leftChars="200"/>
      <w:jc w:val="left"/>
    </w:pPr>
    <w:rPr>
      <w:sz w:val="24"/>
    </w:rPr>
  </w:style>
  <w:style w:type="paragraph" w:styleId="16">
    <w:name w:val="Normal (Web)"/>
    <w:basedOn w:val="1"/>
    <w:qFormat/>
    <w:uiPriority w:val="0"/>
    <w:rPr>
      <w:sz w:val="24"/>
    </w:rPr>
  </w:style>
  <w:style w:type="character" w:styleId="18">
    <w:name w:val="Hyperlink"/>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3"/>
    <w:basedOn w:val="1"/>
    <w:qFormat/>
    <w:uiPriority w:val="0"/>
    <w:pPr>
      <w:ind w:firstLine="420" w:firstLineChars="200"/>
    </w:pPr>
    <w:rPr>
      <w:sz w:val="20"/>
    </w:rPr>
  </w:style>
  <w:style w:type="paragraph" w:customStyle="1"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style>
  <w:style w:type="paragraph" w:customStyle="1" w:styleId="24">
    <w:name w:val="保留正文"/>
    <w:basedOn w:val="7"/>
    <w:qFormat/>
    <w:uiPriority w:val="0"/>
    <w:pPr>
      <w:keepNext/>
      <w:spacing w:after="160"/>
    </w:pPr>
    <w:rPr>
      <w:sz w:val="21"/>
    </w:rPr>
  </w:style>
  <w:style w:type="character" w:customStyle="1" w:styleId="25">
    <w:name w:val="NormalCharacter"/>
    <w:semiHidden/>
    <w:qFormat/>
    <w:uiPriority w:val="99"/>
  </w:style>
  <w:style w:type="paragraph" w:customStyle="1" w:styleId="26">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2023-06-21T02:32:00Z</cp:lastPrinted>
  <dcterms:modified xsi:type="dcterms:W3CDTF">2024-08-23T07:57:23Z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