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广东省河源监狱生命探测仪项目竞价结果公告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广州顺为招标采购有限公司（以下简称“采购代理机构”）受广东省河源监狱（以下简称“采购人”）的委托就广东省河源监狱生命探测仪项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目（项目编号：</w:t>
      </w:r>
      <w:r>
        <w:rPr>
          <w:rFonts w:cs="宋体" w:asciiTheme="minorEastAsia" w:hAnsiTheme="minorEastAsia"/>
          <w:kern w:val="0"/>
          <w:szCs w:val="21"/>
        </w:rPr>
        <w:t>GZSW24201HJ3194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10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14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6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342"/>
        <w:gridCol w:w="1541"/>
        <w:gridCol w:w="876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Header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统一折扣率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杭州金眸科技发展有限公司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31.00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未提供所投产品智慧大屏技术参数证明材料，按无效报价处理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惠州市长缨数字科技有限公司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36.45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所投工业控制设备未按照标的技术规格要求进行报价，按无效报价处理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深圳市安易博电子科技有限公司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40.00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掌门神（深圳）电子有限公司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41.35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40" w:type="dxa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所投工业控制设备未按照标的技术规格要求进行报价，按无效报价处理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北京信至意达科技有限责任公司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42.50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2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深圳市天御时代电子设备有限公司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8.00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3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7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云仓库（广东）信息科技有限公司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49.00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所投高清摄像设备、智能电源、智慧大屏未按照标的技术规格要求进行报价，按无效报价处理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8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深圳市云恒智能有限公司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51.00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9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广东玮一信息技术有限公司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54.00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/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未按竞价文件要求上传报价文件，按无效报价处理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0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惠州市品意安检设备有限公司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报价时间：</w:t>
            </w:r>
            <w:r>
              <w:rPr>
                <w:rFonts w:ascii="宋体" w:hAnsi="宋体" w:cs="Helvetica"/>
                <w:szCs w:val="21"/>
              </w:rPr>
              <w:t>2024-09-14 11:35:37</w:t>
            </w:r>
            <w:r>
              <w:rPr>
                <w:rFonts w:hint="eastAsia" w:ascii="宋体" w:hAnsi="宋体" w:cs="Helvetica"/>
                <w:szCs w:val="21"/>
              </w:rPr>
              <w:t>（若报价相同时，按竞价供应商提交报价的先后顺序推荐成交人）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广州金欣智能科技有限公司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55.00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报价时间：</w:t>
            </w:r>
            <w:r>
              <w:rPr>
                <w:rFonts w:ascii="宋体" w:hAnsi="宋体" w:cs="Helvetica"/>
                <w:szCs w:val="21"/>
              </w:rPr>
              <w:t>2024-09-14 11:56:44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广东壹典通科技有限公司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60.50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未提供所投产品智能电源、智慧大屏技术参数证明材料，所投温控设备、高清摄像设备未按照标的技术规格要求进行报价，按无效报价处理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深圳市拓迈科技有限公司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80.00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7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4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深圳市金固祥科技有限公司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97.99</w:t>
            </w:r>
            <w:r>
              <w:rPr>
                <w:rFonts w:hint="eastAsia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8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成交供应商名称：深圳市安易博电子科技有限公司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成交折扣率：40.00%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right="735" w:rightChars="350"/>
        <w:jc w:val="right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广东省河源监狱</w:t>
      </w:r>
    </w:p>
    <w:p>
      <w:pPr>
        <w:widowControl/>
        <w:shd w:val="clear" w:color="auto" w:fill="FFFFFF"/>
        <w:spacing w:line="312" w:lineRule="auto"/>
        <w:ind w:right="735" w:rightChars="350"/>
        <w:jc w:val="righ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2024年9月20日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E7D01"/>
    <w:rsid w:val="00BF68E5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172E2460"/>
    <w:rsid w:val="24B65371"/>
    <w:rsid w:val="330A1725"/>
    <w:rsid w:val="4855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28410-C630-4A01-B99D-62FD3B37B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184</Words>
  <Characters>1053</Characters>
  <Lines>8</Lines>
  <Paragraphs>2</Paragraphs>
  <TotalTime>3</TotalTime>
  <ScaleCrop>false</ScaleCrop>
  <LinksUpToDate>false</LinksUpToDate>
  <CharactersWithSpaces>1235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2024-09-19T04:00:00Z</dcterms:created>
  <dc:creator>Windows 用户</dc:creator>
  <cp:lastModifiedBy>何坤锋</cp:lastModifiedBy>
  <cp:lastPrinted>2023-11-02T08:29:00Z</cp:lastPrinted>
  <dcterms:modified xsi:type="dcterms:W3CDTF">2024-09-19T09:15:34Z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