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谈判采购</w:t>
      </w:r>
      <w:r>
        <w:rPr>
          <w:rFonts w:hint="eastAsia"/>
          <w:b/>
          <w:bCs/>
          <w:sz w:val="84"/>
          <w:szCs w:val="84"/>
        </w:rPr>
        <w:t>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2024064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工会2025年度会员生日慰问品采购项目</w:t>
      </w:r>
      <w:r>
        <w:rPr>
          <w:rFonts w:hint="eastAsia" w:asciiTheme="minorEastAsia" w:hAnsiTheme="minorEastAsia" w:eastAsiaTheme="minorEastAsia" w:cstheme="minorEastAsia"/>
          <w:sz w:val="32"/>
          <w:szCs w:val="32"/>
          <w:u w:val="single"/>
          <w:lang w:val="en-US" w:eastAsia="zh-CN"/>
        </w:rPr>
        <w:t xml:space="preserve">  </w:t>
      </w:r>
    </w:p>
    <w:p>
      <w:pPr>
        <w:ind w:left="0" w:leftChars="0" w:firstLine="640" w:firstLineChars="200"/>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谈判采购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9"/>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11</w:t>
      </w:r>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响应</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文件格式</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7</w:t>
      </w:r>
    </w:p>
    <w:p>
      <w:pPr>
        <w:rPr>
          <w:rFonts w:hint="eastAsia"/>
        </w:rPr>
      </w:pPr>
    </w:p>
    <w:p>
      <w:pPr>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9"/>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谈判采购</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谈判采购</w:t>
      </w:r>
      <w:r>
        <w:rPr>
          <w:rFonts w:hint="eastAsia"/>
        </w:rPr>
        <w:t>的供应商应承担所有与准备和参加</w:t>
      </w:r>
      <w:r>
        <w:rPr>
          <w:rFonts w:hint="eastAsia"/>
          <w:lang w:eastAsia="zh-CN"/>
        </w:rPr>
        <w:t>谈判采购</w:t>
      </w:r>
      <w:r>
        <w:rPr>
          <w:rFonts w:hint="eastAsia"/>
        </w:rPr>
        <w:t>有关的费用，不论</w:t>
      </w:r>
      <w:r>
        <w:rPr>
          <w:rFonts w:hint="eastAsia"/>
          <w:lang w:eastAsia="zh-CN"/>
        </w:rPr>
        <w:t>谈判采购</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谈判采购</w:t>
      </w:r>
      <w:r>
        <w:rPr>
          <w:rFonts w:hint="eastAsia"/>
        </w:rPr>
        <w:t>附件的格式填写，不得增加或删除表格内容。除单价、金额或项目要求填写的内容外，不得擅自改动</w:t>
      </w:r>
      <w:r>
        <w:rPr>
          <w:rFonts w:hint="eastAsia"/>
          <w:lang w:eastAsia="zh-CN"/>
        </w:rPr>
        <w:t>谈判采购</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谈判采购</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谈判采购</w:t>
      </w:r>
      <w:r>
        <w:rPr>
          <w:rFonts w:hint="eastAsia"/>
        </w:rPr>
        <w:t>失败，采购人将重新采购，届时采购人有权根据项目具体情况，决定重新采购项目的</w:t>
      </w:r>
      <w:r>
        <w:rPr>
          <w:rFonts w:hint="eastAsia"/>
          <w:lang w:eastAsia="zh-CN"/>
        </w:rPr>
        <w:t>采购</w:t>
      </w:r>
      <w:r>
        <w:rPr>
          <w:rFonts w:hint="eastAsia"/>
          <w:lang w:val="en-US" w:eastAsia="zh-CN"/>
        </w:rPr>
        <w:t>方</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谈判采购</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谈判采购</w:t>
      </w:r>
      <w:r>
        <w:rPr>
          <w:rFonts w:hint="eastAsia"/>
        </w:rPr>
        <w:t>的供应商所提交的</w:t>
      </w:r>
      <w:r>
        <w:rPr>
          <w:rFonts w:hint="eastAsia"/>
          <w:lang w:eastAsia="zh-CN"/>
        </w:rPr>
        <w:t>谈判采购</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谈判采购</w:t>
      </w:r>
      <w:r>
        <w:rPr>
          <w:rFonts w:hint="eastAsia"/>
        </w:rPr>
        <w:t>的供应商应认真阅读、并充分理解</w:t>
      </w:r>
      <w:r>
        <w:rPr>
          <w:rFonts w:hint="eastAsia"/>
          <w:lang w:eastAsia="zh-CN"/>
        </w:rPr>
        <w:t>谈判采购</w:t>
      </w:r>
      <w:r>
        <w:rPr>
          <w:rFonts w:hint="eastAsia"/>
        </w:rPr>
        <w:t>文件的全部内容（包括所有的补充、修改内容重要事项、格式、条款、服务要求和技术规范、参数及要求等）。供应商没有按照</w:t>
      </w:r>
      <w:r>
        <w:rPr>
          <w:rFonts w:hint="eastAsia"/>
          <w:lang w:eastAsia="zh-CN"/>
        </w:rPr>
        <w:t>谈判采购</w:t>
      </w:r>
      <w:r>
        <w:rPr>
          <w:rFonts w:hint="eastAsia"/>
        </w:rPr>
        <w:t>文件要求提交全部资料，或者参与</w:t>
      </w:r>
      <w:r>
        <w:rPr>
          <w:rFonts w:hint="eastAsia"/>
          <w:lang w:eastAsia="zh-CN"/>
        </w:rPr>
        <w:t>谈判采购</w:t>
      </w:r>
      <w:r>
        <w:rPr>
          <w:rFonts w:hint="eastAsia"/>
        </w:rPr>
        <w:t>所上传的文件没有对</w:t>
      </w:r>
      <w:r>
        <w:rPr>
          <w:rFonts w:hint="eastAsia"/>
          <w:lang w:eastAsia="zh-CN"/>
        </w:rPr>
        <w:t>谈判采购</w:t>
      </w:r>
      <w:r>
        <w:rPr>
          <w:rFonts w:hint="eastAsia"/>
        </w:rPr>
        <w:t>文件在各方面都作出实质性响应是供应商的风险，有可能导致其</w:t>
      </w:r>
      <w:r>
        <w:rPr>
          <w:rFonts w:hint="eastAsia"/>
          <w:lang w:eastAsia="zh-CN"/>
        </w:rPr>
        <w:t>谈判采购</w:t>
      </w:r>
      <w:r>
        <w:rPr>
          <w:rFonts w:hint="eastAsia"/>
        </w:rPr>
        <w:t>被拒绝，或被认定为无效</w:t>
      </w:r>
      <w:r>
        <w:rPr>
          <w:rFonts w:hint="eastAsia"/>
          <w:lang w:eastAsia="zh-CN"/>
        </w:rPr>
        <w:t>谈判采购</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二、响应</w:t>
      </w:r>
      <w:r>
        <w:rPr>
          <w:rFonts w:hint="eastAsia"/>
          <w:b/>
          <w:bCs/>
        </w:rPr>
        <w:t>提交资料</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w:t>
      </w:r>
      <w:r>
        <w:rPr>
          <w:rFonts w:hint="eastAsia" w:asciiTheme="minorEastAsia" w:hAnsiTheme="minorEastAsia" w:cstheme="minorEastAsia"/>
          <w:sz w:val="21"/>
          <w:szCs w:val="21"/>
          <w:lang w:val="en-US" w:eastAsia="zh-CN"/>
        </w:rPr>
        <w:t>响应文件</w:t>
      </w:r>
      <w:r>
        <w:rPr>
          <w:rFonts w:hint="eastAsia" w:asciiTheme="minorEastAsia" w:hAnsiTheme="minorEastAsia" w:eastAsiaTheme="minorEastAsia" w:cstheme="minorEastAsia"/>
          <w:sz w:val="21"/>
          <w:szCs w:val="21"/>
        </w:rPr>
        <w:t>附件，并对</w:t>
      </w:r>
      <w:r>
        <w:rPr>
          <w:rFonts w:hint="eastAsia" w:asciiTheme="minorEastAsia" w:hAnsiTheme="minorEastAsia" w:cstheme="minorEastAsia"/>
          <w:sz w:val="21"/>
          <w:szCs w:val="21"/>
          <w:lang w:eastAsia="zh-CN"/>
        </w:rPr>
        <w:t>谈判采购</w:t>
      </w:r>
      <w:r>
        <w:rPr>
          <w:rFonts w:hint="eastAsia" w:asciiTheme="minorEastAsia" w:hAnsiTheme="minorEastAsia" w:eastAsiaTheme="minorEastAsia" w:cstheme="minorEastAsia"/>
          <w:sz w:val="21"/>
          <w:szCs w:val="21"/>
        </w:rPr>
        <w:t>文件资料承担责任。</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（二）供应商应一式一份提交响应文件、报价文件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w:t>
      </w: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文件</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报价文件</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响应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日期等，并注明</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递交</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03" w:firstLineChars="192"/>
        <w:jc w:val="left"/>
        <w:textAlignment w:val="auto"/>
        <w:rPr>
          <w:rFonts w:hint="eastAsia" w:ascii="宋体" w:hAnsi="宋体"/>
          <w:b/>
          <w:bCs w:val="0"/>
          <w:color w:val="auto"/>
          <w:spacing w:val="4"/>
          <w:sz w:val="21"/>
          <w:szCs w:val="21"/>
          <w:u w:val="single"/>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w:t>
      </w:r>
      <w:r>
        <w:rPr>
          <w:rFonts w:hint="eastAsia" w:asciiTheme="minorEastAsia" w:hAnsiTheme="minorEastAsia" w:cstheme="minorEastAsia"/>
          <w:color w:val="000000" w:themeColor="text1"/>
          <w:sz w:val="21"/>
          <w:szCs w:val="21"/>
          <w:lang w:val="en-US" w:eastAsia="zh-CN"/>
          <w14:textFill>
            <w14:solidFill>
              <w14:schemeClr w14:val="tx1"/>
            </w14:solidFill>
          </w14:textFill>
        </w:rPr>
        <w:t>递交文件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截止时间前，将</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文件按要求送达</w:t>
      </w:r>
      <w:r>
        <w:rPr>
          <w:rFonts w:hint="eastAsia" w:asciiTheme="minorEastAsia" w:hAnsiTheme="minorEastAsia" w:cstheme="minorEastAsia"/>
          <w:color w:val="000000" w:themeColor="text1"/>
          <w:sz w:val="21"/>
          <w:szCs w:val="21"/>
          <w:lang w:val="en-US" w:eastAsia="zh-CN"/>
          <w14:textFill>
            <w14:solidFill>
              <w14:schemeClr w14:val="tx1"/>
            </w14:solidFill>
          </w14:textFill>
        </w:rPr>
        <w:t>提交</w:t>
      </w:r>
      <w:r>
        <w:rPr>
          <w:rFonts w:hint="eastAsia" w:asciiTheme="minorEastAsia" w:hAnsiTheme="minorEastAsia" w:eastAsiaTheme="minorEastAsia" w:cstheme="minorEastAsia"/>
          <w:color w:val="000000" w:themeColor="text1"/>
          <w:sz w:val="21"/>
          <w:szCs w:val="21"/>
          <w14:textFill>
            <w14:solidFill>
              <w14:schemeClr w14:val="tx1"/>
            </w14:solidFill>
          </w14:textFill>
        </w:rPr>
        <w:t>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宋体" w:hAnsi="宋体"/>
          <w:b/>
          <w:bCs w:val="0"/>
          <w:color w:val="auto"/>
          <w:spacing w:val="4"/>
          <w:sz w:val="21"/>
          <w:szCs w:val="21"/>
          <w:u w:val="single"/>
          <w:lang w:val="en-US" w:eastAsia="zh-CN"/>
        </w:rPr>
        <w:t>报价表不列入响应文件材料，供应商另行单独密封，谈判采购现场提交；</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截止时间后不得修改</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若本项目响应供应商3家（含本数）以内，则选取1家成交供应商；若响应供应商为4家，则选取2家成交供应商；若响应供应商5家（含本数）以上，则选取3家成交供应商，按综合得分由高到低顺序确定为成交人，按程序签订合同采购</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w:t>
      </w:r>
      <w:r>
        <w:rPr>
          <w:rFonts w:hint="eastAsia" w:ascii="宋体" w:hAnsi="宋体"/>
          <w:spacing w:val="4"/>
          <w:szCs w:val="21"/>
          <w:lang w:val="en-US" w:eastAsia="zh-CN"/>
        </w:rPr>
        <w:t>低</w:t>
      </w:r>
      <w:r>
        <w:rPr>
          <w:rFonts w:hint="eastAsia" w:ascii="宋体" w:hAnsi="宋体"/>
          <w:spacing w:val="4"/>
          <w:szCs w:val="21"/>
          <w:lang w:eastAsia="zh-CN"/>
        </w:rPr>
        <w:t>于</w:t>
      </w:r>
      <w:r>
        <w:rPr>
          <w:rFonts w:hint="eastAsia" w:ascii="宋体" w:hAnsi="宋体"/>
          <w:spacing w:val="4"/>
          <w:szCs w:val="21"/>
          <w:lang w:val="en-US" w:eastAsia="zh-CN"/>
        </w:rPr>
        <w:t>400元（不含本数），</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谈判采购</w:t>
      </w:r>
      <w:r>
        <w:rPr>
          <w:rFonts w:hint="eastAsia"/>
        </w:rPr>
        <w:t>的供应商</w:t>
      </w:r>
      <w:r>
        <w:rPr>
          <w:rFonts w:hint="eastAsia"/>
          <w:lang w:val="en-US" w:eastAsia="zh-CN"/>
        </w:rPr>
        <w:t>单价</w:t>
      </w:r>
      <w:r>
        <w:rPr>
          <w:rFonts w:hint="eastAsia"/>
        </w:rPr>
        <w:t>报价</w:t>
      </w:r>
      <w:r>
        <w:rPr>
          <w:rFonts w:hint="eastAsia"/>
          <w:lang w:val="en-US" w:eastAsia="zh-CN"/>
        </w:rPr>
        <w:t>低于400元的</w:t>
      </w:r>
      <w:r>
        <w:rPr>
          <w:rFonts w:hint="eastAsia"/>
        </w:rPr>
        <w:t>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谈判采购</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谈判采购</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谈判采购</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谈判采购</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谈判采购</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19"/>
        <w:pageBreakBefore w:val="0"/>
        <w:kinsoku/>
        <w:wordWrap/>
        <w:overflowPunct/>
        <w:topLinePunct w:val="0"/>
        <w:bidi w:val="0"/>
        <w:spacing w:line="340" w:lineRule="exact"/>
        <w:rPr>
          <w:rFonts w:hint="eastAsia"/>
          <w:lang w:eastAsia="zh-CN"/>
        </w:rPr>
      </w:pPr>
    </w:p>
    <w:p>
      <w:pPr>
        <w:pStyle w:val="19"/>
        <w:pageBreakBefore w:val="0"/>
        <w:kinsoku/>
        <w:wordWrap/>
        <w:overflowPunct/>
        <w:topLinePunct w:val="0"/>
        <w:bidi w:val="0"/>
        <w:spacing w:line="340" w:lineRule="exact"/>
        <w:rPr>
          <w:rFonts w:hint="eastAsia"/>
          <w:lang w:eastAsia="zh-CN"/>
        </w:rPr>
      </w:pPr>
    </w:p>
    <w:p>
      <w:pPr>
        <w:pStyle w:val="19"/>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rPr>
      </w:pP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一、</w:t>
      </w:r>
      <w:r>
        <w:rPr>
          <w:rFonts w:hint="eastAsia"/>
          <w:lang w:val="zh-CN" w:eastAsia="zh-CN"/>
        </w:rPr>
        <w:t>项目概况：</w:t>
      </w:r>
      <w:r>
        <w:rPr>
          <w:rFonts w:hint="eastAsia"/>
          <w:lang w:val="en-US" w:eastAsia="zh-CN"/>
        </w:rPr>
        <w:t>工会2025年度会员生日慰问品</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二、</w:t>
      </w:r>
      <w:r>
        <w:rPr>
          <w:rFonts w:hint="eastAsia"/>
          <w:lang w:val="zh-CN"/>
        </w:rPr>
        <w:t>预算金额：</w:t>
      </w:r>
      <w:r>
        <w:rPr>
          <w:rFonts w:hint="eastAsia"/>
          <w:lang w:val="en-US" w:eastAsia="zh-CN"/>
        </w:rPr>
        <w:t>40万元</w:t>
      </w:r>
    </w:p>
    <w:p>
      <w:pPr>
        <w:pageBreakBefore w:val="0"/>
        <w:kinsoku/>
        <w:wordWrap/>
        <w:overflowPunct/>
        <w:topLinePunct w:val="0"/>
        <w:bidi w:val="0"/>
        <w:spacing w:line="340" w:lineRule="exact"/>
        <w:ind w:left="0" w:leftChars="0" w:firstLine="420" w:firstLineChars="200"/>
        <w:rPr>
          <w:rFonts w:hint="eastAsia"/>
          <w:lang w:val="zh-CN"/>
        </w:rPr>
      </w:pPr>
      <w:r>
        <w:rPr>
          <w:rFonts w:hint="eastAsia"/>
          <w:lang w:val="en-US" w:eastAsia="zh-CN"/>
        </w:rPr>
        <w:t>三、</w:t>
      </w:r>
      <w:r>
        <w:rPr>
          <w:rFonts w:hint="eastAsia"/>
          <w:lang w:val="zh-CN"/>
        </w:rPr>
        <w:t>标的数量：</w:t>
      </w:r>
      <w:r>
        <w:rPr>
          <w:rFonts w:hint="eastAsia"/>
          <w:lang w:val="en-US" w:eastAsia="zh-CN"/>
        </w:rPr>
        <w:t>1000</w:t>
      </w:r>
      <w:r>
        <w:rPr>
          <w:rFonts w:hint="eastAsia"/>
        </w:rPr>
        <w:t>份</w:t>
      </w:r>
      <w:r>
        <w:rPr>
          <w:rFonts w:hint="eastAsia"/>
          <w:lang w:eastAsia="zh-CN"/>
        </w:rPr>
        <w:t>（以实际</w:t>
      </w:r>
      <w:r>
        <w:rPr>
          <w:rFonts w:hint="eastAsia"/>
          <w:lang w:val="en-US" w:eastAsia="zh-CN"/>
        </w:rPr>
        <w:t>采购</w:t>
      </w:r>
      <w:r>
        <w:rPr>
          <w:rFonts w:hint="eastAsia"/>
          <w:lang w:eastAsia="zh-CN"/>
        </w:rPr>
        <w:t>数量为准）</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四、</w:t>
      </w:r>
      <w:r>
        <w:rPr>
          <w:rFonts w:hint="eastAsia"/>
          <w:lang w:val="zh-CN"/>
        </w:rPr>
        <w:t>技术规格：</w:t>
      </w:r>
      <w:r>
        <w:rPr>
          <w:rFonts w:hint="eastAsia"/>
          <w:lang w:val="en-US" w:eastAsia="zh-CN"/>
        </w:rPr>
        <w:t>每份含蛋糕券和贺卡各一张。</w:t>
      </w:r>
    </w:p>
    <w:p>
      <w:pPr>
        <w:pageBreakBefore w:val="0"/>
        <w:kinsoku/>
        <w:wordWrap/>
        <w:overflowPunct/>
        <w:topLinePunct w:val="0"/>
        <w:bidi w:val="0"/>
        <w:spacing w:line="340" w:lineRule="exact"/>
        <w:ind w:left="0" w:leftChars="0" w:firstLine="420" w:firstLineChars="200"/>
        <w:rPr>
          <w:rFonts w:hint="eastAsia"/>
          <w:lang w:val="zh-CN"/>
        </w:rPr>
      </w:pPr>
      <w:r>
        <w:rPr>
          <w:rFonts w:hint="eastAsia"/>
          <w:lang w:val="en-US" w:eastAsia="zh-CN"/>
        </w:rPr>
        <w:t>五、</w:t>
      </w:r>
      <w:r>
        <w:rPr>
          <w:rFonts w:hint="eastAsia"/>
          <w:lang w:val="zh-CN"/>
        </w:rPr>
        <w:t>服务标准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1.生日蛋糕券可多次消费，不得设置消费有效期和指定品种，不得设置其他附加使用条件和程序，可在供应商属下任何一家销售门店内消费，直到金额消费完为止。</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2.会员个人凭券（卡）到乙方销售门店购买蛋糕时，食品价格按门店实际售价或实际促销优惠价结算，不得加价，同时可享受店内所有优惠活动，不得区别对待。</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3.供应商提供的食品应符合国家相关食品标准，不得售卖不符合质量标准的食品。食品必须附有真实的生产日期和保质期。</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4.贺卡格式以采购方要求为准。</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5.乙方应主动采取积极措施做好服务工作，主动加强用卡管理，确保用卡安全高效。</w:t>
      </w:r>
    </w:p>
    <w:p>
      <w:pPr>
        <w:pageBreakBefore w:val="0"/>
        <w:kinsoku/>
        <w:wordWrap/>
        <w:overflowPunct/>
        <w:topLinePunct w:val="0"/>
        <w:bidi w:val="0"/>
        <w:spacing w:line="340" w:lineRule="exact"/>
        <w:ind w:left="0" w:leftChars="0" w:firstLine="420" w:firstLineChars="200"/>
        <w:rPr>
          <w:rFonts w:hint="eastAsia"/>
          <w:lang w:val="zh-CN"/>
        </w:rPr>
      </w:pPr>
      <w:r>
        <w:rPr>
          <w:rFonts w:hint="eastAsia"/>
          <w:lang w:val="en-US" w:eastAsia="zh-CN"/>
        </w:rPr>
        <w:t>六、</w:t>
      </w:r>
      <w:r>
        <w:rPr>
          <w:rFonts w:hint="eastAsia"/>
          <w:lang w:val="zh-CN"/>
        </w:rPr>
        <w:t>服务（交付）期限</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供应商按采购方需求，在约定时间内提供相应数量及面额的蛋糕券和贺卡。</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七、款项结算支付</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1.按400元/份（含蛋糕券、贺卡、发票、税金等所有费用）结算。</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2.按当季度实际采购数量每季度结算一次。</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八、售后保障</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1.合同期限为2025年1月1日至2025年12月31日。</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2.供应商须对所出售的商品质量负责，若收到采购方会员如实投诉质量问题的，对不符合质量标准的食品，供应商应无条件及时退货或更换，如因商品质量问题导致的其他不良后果，均由供应商负责。</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九、验收标准</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供应商按约定提供</w:t>
      </w:r>
      <w:r>
        <w:rPr>
          <w:rFonts w:hint="eastAsia"/>
        </w:rPr>
        <w:t>蛋糕券</w:t>
      </w:r>
      <w:r>
        <w:rPr>
          <w:rFonts w:hint="eastAsia"/>
          <w:lang w:eastAsia="zh-CN"/>
        </w:rPr>
        <w:t>和贺卡，</w:t>
      </w:r>
      <w:r>
        <w:rPr>
          <w:rFonts w:hint="eastAsia"/>
          <w:lang w:val="en-US" w:eastAsia="zh-CN"/>
        </w:rPr>
        <w:t>对照合同进行验收。</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十、评审标准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本项目采购评审标准总分100分，包括价格、商务等分项内容。报价文件在谈判地点现场密封提供，若本项目响应供应商3家（含本数）以内，则选取1家成交供应商；若响应供应商为4家，则选取2家成交供应商；若响应供应商5家以上（含本数），则选取3家成交供应商，按综合得分由高到低顺序确定为成交人，按程序签订合同采购。具体包括：</w:t>
      </w:r>
    </w:p>
    <w:p>
      <w:pPr>
        <w:pageBreakBefore w:val="0"/>
        <w:kinsoku/>
        <w:wordWrap/>
        <w:overflowPunct/>
        <w:topLinePunct w:val="0"/>
        <w:bidi w:val="0"/>
        <w:spacing w:line="340" w:lineRule="exact"/>
        <w:ind w:left="0" w:leftChars="0" w:firstLine="420" w:firstLineChars="200"/>
        <w:rPr>
          <w:rFonts w:hint="eastAsia"/>
          <w:lang w:val="en-US" w:eastAsia="zh-CN"/>
        </w:rPr>
      </w:pPr>
    </w:p>
    <w:tbl>
      <w:tblPr>
        <w:tblStyle w:val="17"/>
        <w:tblW w:w="8600" w:type="dxa"/>
        <w:jc w:val="center"/>
        <w:tblInd w:w="369" w:type="dxa"/>
        <w:shd w:val="clear" w:color="auto" w:fill="auto"/>
        <w:tblLayout w:type="fixed"/>
        <w:tblCellMar>
          <w:top w:w="0" w:type="dxa"/>
          <w:left w:w="0" w:type="dxa"/>
          <w:bottom w:w="0" w:type="dxa"/>
          <w:right w:w="0" w:type="dxa"/>
        </w:tblCellMar>
      </w:tblPr>
      <w:tblGrid>
        <w:gridCol w:w="1089"/>
        <w:gridCol w:w="1577"/>
        <w:gridCol w:w="5934"/>
      </w:tblGrid>
      <w:tr>
        <w:tblPrEx>
          <w:tblLayout w:type="fixed"/>
          <w:tblCellMar>
            <w:top w:w="0" w:type="dxa"/>
            <w:left w:w="0" w:type="dxa"/>
            <w:bottom w:w="0" w:type="dxa"/>
            <w:right w:w="0" w:type="dxa"/>
          </w:tblCellMar>
        </w:tblPrEx>
        <w:trPr>
          <w:trHeight w:val="59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序号</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内容</w:t>
            </w:r>
          </w:p>
        </w:tc>
        <w:tc>
          <w:tcPr>
            <w:tcW w:w="5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评审标准</w:t>
            </w:r>
          </w:p>
        </w:tc>
      </w:tr>
      <w:tr>
        <w:tblPrEx>
          <w:tblLayout w:type="fixed"/>
          <w:tblCellMar>
            <w:top w:w="0" w:type="dxa"/>
            <w:left w:w="0" w:type="dxa"/>
            <w:bottom w:w="0" w:type="dxa"/>
            <w:right w:w="0" w:type="dxa"/>
          </w:tblCellMar>
        </w:tblPrEx>
        <w:trPr>
          <w:trHeight w:val="93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1</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企业体系</w:t>
            </w:r>
          </w:p>
          <w:p>
            <w:pPr>
              <w:pageBreakBefore w:val="0"/>
              <w:kinsoku/>
              <w:wordWrap/>
              <w:overflowPunct/>
              <w:topLinePunct w:val="0"/>
              <w:bidi w:val="0"/>
              <w:spacing w:line="340" w:lineRule="exact"/>
              <w:jc w:val="center"/>
              <w:rPr>
                <w:rFonts w:hint="eastAsia"/>
                <w:lang w:val="en-US" w:eastAsia="zh-CN"/>
              </w:rPr>
            </w:pPr>
            <w:r>
              <w:rPr>
                <w:rFonts w:hint="eastAsia"/>
                <w:lang w:val="en-US" w:eastAsia="zh-CN"/>
              </w:rPr>
              <w:t>认证情况</w:t>
            </w:r>
          </w:p>
          <w:p>
            <w:pPr>
              <w:pageBreakBefore w:val="0"/>
              <w:kinsoku/>
              <w:wordWrap/>
              <w:overflowPunct/>
              <w:topLinePunct w:val="0"/>
              <w:bidi w:val="0"/>
              <w:spacing w:line="340" w:lineRule="exact"/>
              <w:jc w:val="center"/>
              <w:rPr>
                <w:rFonts w:hint="eastAsia"/>
                <w:lang w:val="en-US" w:eastAsia="zh-CN"/>
              </w:rPr>
            </w:pPr>
            <w:r>
              <w:rPr>
                <w:rFonts w:hint="eastAsia"/>
                <w:lang w:val="en-US" w:eastAsia="zh-CN"/>
              </w:rPr>
              <w:t>(4.0分)</w:t>
            </w:r>
          </w:p>
        </w:tc>
        <w:tc>
          <w:tcPr>
            <w:tcW w:w="5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供应商每具有一项以下有效期内的认证证书得1分： (1)食品安全管理体系认证； (2)质量管理体系认证； (3)环境管理体系认证； (4)职业健康安全管理体系认证。注：提供有效期内的认证证书复印件加盖公章，未提供或漏提供证明材料或无法认定的不得分。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备注：须同时提供有效期内的认证证书复印件和打印网站公布的链接信息资料（网址以http://www.cnca.gov.cn网站公布为准，证书状态须为“有效”）。</w:t>
            </w:r>
          </w:p>
        </w:tc>
      </w:tr>
      <w:tr>
        <w:tblPrEx>
          <w:shd w:val="clear" w:color="auto" w:fill="auto"/>
          <w:tblLayout w:type="fixed"/>
          <w:tblCellMar>
            <w:top w:w="0" w:type="dxa"/>
            <w:left w:w="0" w:type="dxa"/>
            <w:bottom w:w="0" w:type="dxa"/>
            <w:right w:w="0" w:type="dxa"/>
          </w:tblCellMar>
        </w:tblPrEx>
        <w:trPr>
          <w:trHeight w:val="1922"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2</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同类业绩</w:t>
            </w:r>
          </w:p>
          <w:p>
            <w:pPr>
              <w:pageBreakBefore w:val="0"/>
              <w:kinsoku/>
              <w:wordWrap/>
              <w:overflowPunct/>
              <w:topLinePunct w:val="0"/>
              <w:bidi w:val="0"/>
              <w:spacing w:line="340" w:lineRule="exact"/>
              <w:jc w:val="center"/>
              <w:rPr>
                <w:rFonts w:hint="default"/>
                <w:lang w:val="en-US" w:eastAsia="zh-CN"/>
              </w:rPr>
            </w:pPr>
            <w:r>
              <w:rPr>
                <w:rFonts w:hint="eastAsia"/>
                <w:lang w:val="en-US" w:eastAsia="zh-CN"/>
              </w:rPr>
              <w:t>（16.0分）</w:t>
            </w:r>
          </w:p>
        </w:tc>
        <w:tc>
          <w:tcPr>
            <w:tcW w:w="5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2022年1月1日至2024年10月31日（以合同签订时间为准）同类项目业绩，每提供1个得2分（相同单位多个合同只得2分），满分16分。</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备注：需同时提供以下证明材料复印件加盖公章，否则不得分：1.合同关键页（提供合同封面、合同主要内容、盖章页，并加盖公章）；2.合同期任意一次发票。</w:t>
            </w:r>
          </w:p>
        </w:tc>
      </w:tr>
      <w:tr>
        <w:tblPrEx>
          <w:tblLayout w:type="fixed"/>
          <w:tblCellMar>
            <w:top w:w="0" w:type="dxa"/>
            <w:left w:w="0" w:type="dxa"/>
            <w:bottom w:w="0" w:type="dxa"/>
            <w:right w:w="0" w:type="dxa"/>
          </w:tblCellMar>
        </w:tblPrEx>
        <w:trPr>
          <w:trHeight w:val="2696"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3</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服务团队人员</w:t>
            </w:r>
          </w:p>
          <w:p>
            <w:pPr>
              <w:pageBreakBefore w:val="0"/>
              <w:kinsoku/>
              <w:wordWrap/>
              <w:overflowPunct/>
              <w:topLinePunct w:val="0"/>
              <w:bidi w:val="0"/>
              <w:spacing w:line="340" w:lineRule="exact"/>
              <w:jc w:val="center"/>
              <w:rPr>
                <w:rFonts w:hint="eastAsia"/>
                <w:lang w:val="en-US" w:eastAsia="zh-CN"/>
              </w:rPr>
            </w:pPr>
            <w:r>
              <w:rPr>
                <w:rFonts w:hint="eastAsia"/>
                <w:lang w:val="en-US" w:eastAsia="zh-CN"/>
              </w:rPr>
              <w:t>配置(13.0分)</w:t>
            </w:r>
          </w:p>
        </w:tc>
        <w:tc>
          <w:tcPr>
            <w:tcW w:w="5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对供应商为本项目服务的人员进行评审：1.具备高级食品安全管理员证书，每个得5分；2.具备中级食品安全管理员证书，每个得3分；3.具备初级食品安全管理员证书，每个得1分。 本项最高得13分。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提供资格证书、相应人员报名截止日前3个月（9、10、11月）任1个月在供应商购买社保等相关证明资料复印件，不符合条件不得分。同一个人提供多个级别证书的按最高级别计分，不重复得分。</w:t>
            </w:r>
          </w:p>
        </w:tc>
      </w:tr>
      <w:tr>
        <w:tblPrEx>
          <w:shd w:val="clear" w:color="auto" w:fill="auto"/>
          <w:tblLayout w:type="fixed"/>
          <w:tblCellMar>
            <w:top w:w="0" w:type="dxa"/>
            <w:left w:w="0" w:type="dxa"/>
            <w:bottom w:w="0" w:type="dxa"/>
            <w:right w:w="0" w:type="dxa"/>
          </w:tblCellMar>
        </w:tblPrEx>
        <w:trPr>
          <w:trHeight w:val="155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4</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default"/>
                <w:lang w:val="en-US" w:eastAsia="zh-CN"/>
              </w:rPr>
            </w:pPr>
            <w:r>
              <w:rPr>
                <w:rFonts w:hint="eastAsia"/>
                <w:lang w:val="en-US" w:eastAsia="zh-CN"/>
              </w:rPr>
              <w:t>采购便利性</w:t>
            </w:r>
          </w:p>
          <w:p>
            <w:pPr>
              <w:pageBreakBefore w:val="0"/>
              <w:kinsoku/>
              <w:wordWrap/>
              <w:overflowPunct/>
              <w:topLinePunct w:val="0"/>
              <w:bidi w:val="0"/>
              <w:spacing w:line="340" w:lineRule="exact"/>
              <w:jc w:val="center"/>
              <w:rPr>
                <w:rFonts w:hint="eastAsia"/>
                <w:lang w:val="en-US" w:eastAsia="zh-CN"/>
              </w:rPr>
            </w:pPr>
            <w:r>
              <w:rPr>
                <w:rFonts w:hint="eastAsia"/>
                <w:lang w:val="en-US" w:eastAsia="zh-CN"/>
              </w:rPr>
              <w:t>（13.0分）</w:t>
            </w:r>
          </w:p>
        </w:tc>
        <w:tc>
          <w:tcPr>
            <w:tcW w:w="5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供应商有固定经营场所，采购响应时间短，店铺分布合理，得13分，采购响应时间较短，店铺分布较为合理，得8分，采购响应时间较长，店铺分布不够合理，得5分。本项满分13分。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备注：提供营业执照副本复印件加盖公章。</w:t>
            </w:r>
          </w:p>
        </w:tc>
      </w:tr>
      <w:tr>
        <w:tblPrEx>
          <w:tblLayout w:type="fixed"/>
          <w:tblCellMar>
            <w:top w:w="0" w:type="dxa"/>
            <w:left w:w="0" w:type="dxa"/>
            <w:bottom w:w="0" w:type="dxa"/>
            <w:right w:w="0" w:type="dxa"/>
          </w:tblCellMar>
        </w:tblPrEx>
        <w:trPr>
          <w:trHeight w:val="1953"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5</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品种多样化</w:t>
            </w:r>
          </w:p>
          <w:p>
            <w:pPr>
              <w:pageBreakBefore w:val="0"/>
              <w:kinsoku/>
              <w:wordWrap/>
              <w:overflowPunct/>
              <w:topLinePunct w:val="0"/>
              <w:bidi w:val="0"/>
              <w:spacing w:line="340" w:lineRule="exact"/>
              <w:jc w:val="center"/>
              <w:rPr>
                <w:rFonts w:hint="eastAsia"/>
                <w:lang w:val="en-US" w:eastAsia="zh-CN"/>
              </w:rPr>
            </w:pPr>
            <w:r>
              <w:rPr>
                <w:rFonts w:hint="eastAsia"/>
                <w:lang w:val="en-US" w:eastAsia="zh-CN"/>
              </w:rPr>
              <w:t>(12.0分)</w:t>
            </w:r>
          </w:p>
        </w:tc>
        <w:tc>
          <w:tcPr>
            <w:tcW w:w="5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对场所展示产品种类进行评价：产品种类齐全，蛋糕品种丰富，选择性大，得12分；产品种类较为齐全，蛋糕品种较为丰富，选择性较大，得8分；产品种类一般，蛋糕品种一般，选择空间不大，得4分。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备注：谈判现场提供供货清单等证明材料。</w:t>
            </w:r>
          </w:p>
        </w:tc>
      </w:tr>
      <w:tr>
        <w:tblPrEx>
          <w:tblLayout w:type="fixed"/>
          <w:tblCellMar>
            <w:top w:w="0" w:type="dxa"/>
            <w:left w:w="0" w:type="dxa"/>
            <w:bottom w:w="0" w:type="dxa"/>
            <w:right w:w="0" w:type="dxa"/>
          </w:tblCellMar>
        </w:tblPrEx>
        <w:trPr>
          <w:trHeight w:val="12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6</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口味满意度</w:t>
            </w:r>
          </w:p>
          <w:p>
            <w:pPr>
              <w:pageBreakBefore w:val="0"/>
              <w:kinsoku/>
              <w:wordWrap/>
              <w:overflowPunct/>
              <w:topLinePunct w:val="0"/>
              <w:bidi w:val="0"/>
              <w:spacing w:line="340" w:lineRule="exact"/>
              <w:jc w:val="center"/>
              <w:rPr>
                <w:rFonts w:hint="eastAsia"/>
                <w:lang w:val="en-US" w:eastAsia="zh-CN"/>
              </w:rPr>
            </w:pPr>
            <w:r>
              <w:rPr>
                <w:rFonts w:hint="eastAsia"/>
                <w:lang w:val="en-US" w:eastAsia="zh-CN"/>
              </w:rPr>
              <w:t>(12.0分)</w:t>
            </w:r>
          </w:p>
        </w:tc>
        <w:tc>
          <w:tcPr>
            <w:tcW w:w="5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对供应商蛋糕样板作出评价：品相、口感好，得12分；品相、口感较好，得8分；品相、口感一般得4分。</w:t>
            </w:r>
          </w:p>
          <w:p>
            <w:pPr>
              <w:pStyle w:val="2"/>
              <w:ind w:firstLine="460" w:firstLineChars="200"/>
              <w:rPr>
                <w:rFonts w:hint="eastAsia"/>
                <w:lang w:val="en-US" w:eastAsia="zh-CN"/>
              </w:rPr>
            </w:pPr>
            <w:r>
              <w:rPr>
                <w:rFonts w:hint="eastAsia"/>
                <w:lang w:val="en-US" w:eastAsia="zh-CN"/>
              </w:rPr>
              <w:t>备注：谈判现场评价。</w:t>
            </w:r>
          </w:p>
        </w:tc>
      </w:tr>
      <w:tr>
        <w:tblPrEx>
          <w:tblLayout w:type="fixed"/>
          <w:tblCellMar>
            <w:top w:w="0" w:type="dxa"/>
            <w:left w:w="0" w:type="dxa"/>
            <w:bottom w:w="0" w:type="dxa"/>
            <w:right w:w="0" w:type="dxa"/>
          </w:tblCellMar>
        </w:tblPrEx>
        <w:trPr>
          <w:trHeight w:val="1508"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7</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lang w:val="en-US" w:eastAsia="zh-CN"/>
              </w:rPr>
            </w:pPr>
            <w:r>
              <w:rPr>
                <w:rFonts w:hint="eastAsia"/>
                <w:lang w:val="en-US" w:eastAsia="zh-CN"/>
              </w:rPr>
              <w:t>报价</w:t>
            </w:r>
          </w:p>
          <w:p>
            <w:pPr>
              <w:pageBreakBefore w:val="0"/>
              <w:kinsoku/>
              <w:wordWrap/>
              <w:overflowPunct/>
              <w:topLinePunct w:val="0"/>
              <w:bidi w:val="0"/>
              <w:spacing w:line="340" w:lineRule="exact"/>
              <w:jc w:val="center"/>
              <w:rPr>
                <w:rFonts w:hint="eastAsia"/>
                <w:lang w:val="en-US" w:eastAsia="zh-CN"/>
              </w:rPr>
            </w:pPr>
            <w:r>
              <w:rPr>
                <w:rFonts w:hint="eastAsia"/>
                <w:lang w:val="en-US" w:eastAsia="zh-CN"/>
              </w:rPr>
              <w:t>(30.0分)</w:t>
            </w:r>
          </w:p>
        </w:tc>
        <w:tc>
          <w:tcPr>
            <w:tcW w:w="5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每份蛋糕券优惠后，不低于400元/份（不含本数），报价最高得满分；结算以实际采购数量为准，按400元/份结算；每份含蛋糕券和贺卡各1张（报价格式见附件）。</w:t>
            </w:r>
          </w:p>
          <w:p>
            <w:pPr>
              <w:pStyle w:val="2"/>
              <w:ind w:firstLine="460" w:firstLineChars="200"/>
              <w:rPr>
                <w:rFonts w:hint="eastAsia"/>
                <w:lang w:val="en-US" w:eastAsia="zh-CN"/>
              </w:rPr>
            </w:pPr>
            <w:r>
              <w:rPr>
                <w:rFonts w:hint="eastAsia"/>
                <w:lang w:val="en-US" w:eastAsia="zh-CN"/>
              </w:rPr>
              <w:t>备注：谈判现场密封提交。</w:t>
            </w:r>
          </w:p>
        </w:tc>
      </w:tr>
    </w:tbl>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响应文件格式</w:t>
      </w:r>
    </w:p>
    <w:p>
      <w:pPr>
        <w:pageBreakBefore w:val="0"/>
        <w:kinsoku/>
        <w:wordWrap/>
        <w:overflowPunct/>
        <w:topLinePunct w:val="0"/>
        <w:bidi w:val="0"/>
        <w:spacing w:line="340" w:lineRule="exact"/>
        <w:rPr>
          <w:rFonts w:hint="eastAsia"/>
        </w:rPr>
      </w:pPr>
    </w:p>
    <w:p>
      <w:pPr>
        <w:pStyle w:val="19"/>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广东省河源监狱工会2025年度</w:t>
      </w: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会员生日慰问品采购项目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响</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应</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586" w:rightChars="279"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w:t>
      </w:r>
      <w:r>
        <w:rPr>
          <w:rFonts w:hint="eastAsia" w:asciiTheme="minorEastAsia" w:hAnsiTheme="minorEastAsia" w:cstheme="minorEastAsia"/>
          <w:b w:val="0"/>
          <w:bCs w:val="0"/>
          <w:color w:val="000000"/>
          <w:sz w:val="32"/>
          <w:szCs w:val="32"/>
          <w:lang w:val="en-US" w:eastAsia="zh-CN"/>
        </w:rPr>
        <w:t>响应</w:t>
      </w:r>
      <w:r>
        <w:rPr>
          <w:rFonts w:hint="eastAsia" w:asciiTheme="minorEastAsia" w:hAnsiTheme="minorEastAsia" w:eastAsiaTheme="minorEastAsia" w:cstheme="minorEastAsia"/>
          <w:b w:val="0"/>
          <w:bCs w:val="0"/>
          <w:color w:val="000000"/>
          <w:sz w:val="32"/>
          <w:szCs w:val="32"/>
          <w:lang w:val="en-US" w:eastAsia="zh-CN"/>
        </w:rPr>
        <w:t>函………………………………………………1</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二、资格声明书…………………………………………2</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四、卫生许可证或餐饮服务许可证……………………4</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五、企业综合实力佐证材料</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六、同类业绩佐证材料</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七、企业体系认证佐证材</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八、服务团队人员配置佐证材料</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书 </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9</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、授权委托书（如需授权）………………………</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10</w:t>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2"/>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5"/>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广东省河源监狱工会2025年度会员生日慰问品采购项目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w:t>
      </w:r>
      <w:r>
        <w:rPr>
          <w:rFonts w:hint="eastAsia" w:asciiTheme="minorEastAsia" w:hAnsiTheme="minorEastAsia" w:cstheme="minorEastAsia"/>
          <w:color w:val="000000" w:themeColor="text1"/>
          <w:sz w:val="21"/>
          <w:szCs w:val="21"/>
          <w:lang w:val="en-US" w:eastAsia="zh-CN"/>
          <w14:textFill>
            <w14:solidFill>
              <w14:schemeClr w14:val="tx1"/>
            </w14:solidFill>
          </w14:textFill>
        </w:rPr>
        <w:t>谈判采购活动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9"/>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sz w:val="21"/>
          <w:szCs w:val="21"/>
          <w:u w:val="single"/>
          <w:lang w:val="en-US" w:eastAsia="zh-CN"/>
        </w:rPr>
        <w:t>广东省河源监狱</w:t>
      </w:r>
      <w:r>
        <w:rPr>
          <w:rFonts w:hint="eastAsia" w:asciiTheme="minorEastAsia" w:hAnsiTheme="minorEastAsia" w:cstheme="minorEastAsia"/>
          <w:sz w:val="21"/>
          <w:szCs w:val="21"/>
          <w:u w:val="single"/>
          <w:lang w:val="en-US" w:eastAsia="zh-CN"/>
        </w:rPr>
        <w:t>工会2025年度会员生日慰问品采购项目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谈判采购</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2"/>
        </w:numPr>
        <w:kinsoku/>
        <w:wordWrap/>
        <w:overflowPunct/>
        <w:topLinePunct w:val="0"/>
        <w:bidi w:val="0"/>
        <w:spacing w:line="340" w:lineRule="exact"/>
        <w:ind w:left="11" w:leftChars="0" w:firstLine="420" w:firstLine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卫生许可证或餐饮服务许可证（复印件加盖公章）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5.企业体系认证佐证材（复印件加盖单位公章）</w:t>
      </w: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lang w:val="en-US" w:eastAsia="zh-CN"/>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6.同类业绩佐证材料（复印件加盖单位公章）</w:t>
      </w: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7.服务团队人员配置佐证材料（复印件加盖单位公章）</w:t>
      </w: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8.采购便利性佐证材料（复印件加盖单位公章）</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广东省河源监狱工会2025年度会员生日慰问品采购项目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r>
        <w:rPr>
          <w:rFonts w:hint="eastAsia"/>
          <w:b/>
          <w:bCs/>
          <w:sz w:val="32"/>
          <w:szCs w:val="32"/>
          <w:lang w:val="en-US" w:eastAsia="zh-CN"/>
        </w:rPr>
        <w:t>第四篇  报价文件</w:t>
      </w: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tbl>
      <w:tblPr>
        <w:tblStyle w:val="1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320"/>
        <w:gridCol w:w="3888"/>
        <w:gridCol w:w="120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exact"/>
        </w:trPr>
        <w:tc>
          <w:tcPr>
            <w:tcW w:w="1716"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cstheme="minorEastAsia"/>
                <w:b/>
                <w:kern w:val="2"/>
                <w:sz w:val="21"/>
                <w:szCs w:val="21"/>
                <w:lang w:val="en-US" w:eastAsia="zh-CN"/>
              </w:rPr>
              <w:t>项目</w:t>
            </w:r>
            <w:r>
              <w:rPr>
                <w:rFonts w:hint="eastAsia" w:asciiTheme="minorEastAsia" w:hAnsiTheme="minorEastAsia" w:eastAsiaTheme="minorEastAsia" w:cstheme="minorEastAsia"/>
                <w:b/>
                <w:kern w:val="2"/>
                <w:sz w:val="21"/>
                <w:szCs w:val="21"/>
              </w:rPr>
              <w:t>名称</w:t>
            </w:r>
          </w:p>
        </w:tc>
        <w:tc>
          <w:tcPr>
            <w:tcW w:w="1320" w:type="dxa"/>
            <w:vAlign w:val="center"/>
          </w:tcPr>
          <w:p>
            <w:pPr>
              <w:pageBreakBefore w:val="0"/>
              <w:kinsoku/>
              <w:wordWrap/>
              <w:overflowPunct/>
              <w:topLinePunct w:val="0"/>
              <w:bidi w:val="0"/>
              <w:snapToGrid w:val="0"/>
              <w:spacing w:line="340" w:lineRule="exact"/>
              <w:jc w:val="center"/>
              <w:rPr>
                <w:rFonts w:hint="default" w:asciiTheme="minorEastAsia" w:hAnsiTheme="minorEastAsia" w:eastAsiaTheme="minorEastAsia" w:cstheme="minorEastAsia"/>
                <w:b/>
                <w:kern w:val="2"/>
                <w:sz w:val="21"/>
                <w:szCs w:val="21"/>
                <w:lang w:val="en-US" w:eastAsia="zh-CN"/>
              </w:rPr>
            </w:pPr>
            <w:r>
              <w:rPr>
                <w:rFonts w:hint="eastAsia" w:asciiTheme="minorEastAsia" w:hAnsiTheme="minorEastAsia" w:cstheme="minorEastAsia"/>
                <w:b/>
                <w:kern w:val="2"/>
                <w:sz w:val="21"/>
                <w:szCs w:val="21"/>
                <w:lang w:val="en-US" w:eastAsia="zh-CN"/>
              </w:rPr>
              <w:t>结算价</w:t>
            </w:r>
          </w:p>
        </w:tc>
        <w:tc>
          <w:tcPr>
            <w:tcW w:w="3888"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atLeast"/>
              <w:ind w:left="0" w:leftChars="0" w:firstLine="405" w:firstLineChars="192"/>
              <w:jc w:val="center"/>
              <w:textAlignment w:val="auto"/>
              <w:rPr>
                <w:rFonts w:hint="default" w:asciiTheme="minorEastAsia" w:hAnsiTheme="minorEastAsia" w:eastAsiaTheme="minorEastAsia" w:cstheme="minorEastAsia"/>
                <w:b/>
                <w:kern w:val="2"/>
                <w:sz w:val="21"/>
                <w:szCs w:val="21"/>
                <w:lang w:val="en-US" w:eastAsia="zh-CN"/>
              </w:rPr>
            </w:pPr>
            <w:r>
              <w:rPr>
                <w:rFonts w:hint="eastAsia" w:asciiTheme="minorEastAsia" w:hAnsiTheme="minorEastAsia" w:cstheme="minorEastAsia"/>
                <w:b/>
                <w:kern w:val="2"/>
                <w:sz w:val="21"/>
                <w:szCs w:val="21"/>
                <w:lang w:val="en-US" w:eastAsia="zh-CN"/>
              </w:rPr>
              <w:t>供应商报价（元／份</w:t>
            </w:r>
            <w:r>
              <w:rPr>
                <w:rFonts w:hint="eastAsia" w:asciiTheme="minorEastAsia" w:hAnsiTheme="minorEastAsia" w:cstheme="minorEastAsia"/>
                <w:b/>
                <w:bCs/>
                <w:kern w:val="2"/>
                <w:sz w:val="21"/>
                <w:szCs w:val="21"/>
                <w:u w:val="none"/>
                <w:lang w:val="en-US" w:eastAsia="zh-CN"/>
              </w:rPr>
              <w:t>）</w:t>
            </w:r>
          </w:p>
        </w:tc>
        <w:tc>
          <w:tcPr>
            <w:tcW w:w="1206"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bCs/>
                <w:kern w:val="2"/>
                <w:sz w:val="21"/>
                <w:szCs w:val="21"/>
              </w:rPr>
              <w:t>交货期</w:t>
            </w:r>
          </w:p>
        </w:tc>
        <w:tc>
          <w:tcPr>
            <w:tcW w:w="1130"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exact"/>
        </w:trPr>
        <w:tc>
          <w:tcPr>
            <w:tcW w:w="1716" w:type="dxa"/>
            <w:vAlign w:val="center"/>
          </w:tcPr>
          <w:p>
            <w:pPr>
              <w:pageBreakBefore w:val="0"/>
              <w:kinsoku/>
              <w:wordWrap/>
              <w:overflowPunct/>
              <w:topLinePunct w:val="0"/>
              <w:bidi w:val="0"/>
              <w:snapToGrid w:val="0"/>
              <w:spacing w:line="340" w:lineRule="exact"/>
              <w:jc w:val="both"/>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val="0"/>
                <w:bCs w:val="0"/>
                <w:sz w:val="21"/>
                <w:szCs w:val="21"/>
                <w:u w:val="none"/>
                <w:lang w:val="en-US" w:eastAsia="zh-CN"/>
              </w:rPr>
              <w:t>广东省河源监狱</w:t>
            </w:r>
            <w:r>
              <w:rPr>
                <w:rFonts w:hint="eastAsia" w:asciiTheme="minorEastAsia" w:hAnsiTheme="minorEastAsia" w:cstheme="minorEastAsia"/>
                <w:b w:val="0"/>
                <w:bCs w:val="0"/>
                <w:sz w:val="21"/>
                <w:szCs w:val="21"/>
                <w:u w:val="none"/>
                <w:lang w:val="en-US" w:eastAsia="zh-CN"/>
              </w:rPr>
              <w:t>工会2025年度会员生日慰问品采购项目</w:t>
            </w:r>
          </w:p>
        </w:tc>
        <w:tc>
          <w:tcPr>
            <w:tcW w:w="1320" w:type="dxa"/>
            <w:vAlign w:val="center"/>
          </w:tcPr>
          <w:p>
            <w:pPr>
              <w:pStyle w:val="19"/>
              <w:ind w:left="0" w:leftChars="0" w:firstLine="0" w:firstLineChars="0"/>
              <w:jc w:val="center"/>
              <w:rPr>
                <w:rFonts w:hint="eastAsia" w:asciiTheme="minorEastAsia" w:hAnsiTheme="minorEastAsia" w:cstheme="minorEastAsia"/>
                <w:b w:val="0"/>
                <w:bCs w:val="0"/>
                <w:kern w:val="2"/>
                <w:sz w:val="21"/>
                <w:szCs w:val="21"/>
                <w:u w:val="none"/>
                <w:lang w:val="en-US" w:eastAsia="zh-CN"/>
              </w:rPr>
            </w:pPr>
            <w:r>
              <w:rPr>
                <w:rFonts w:hint="eastAsia" w:asciiTheme="minorEastAsia" w:hAnsiTheme="minorEastAsia" w:cstheme="minorEastAsia"/>
                <w:b w:val="0"/>
                <w:bCs w:val="0"/>
                <w:kern w:val="2"/>
                <w:sz w:val="21"/>
                <w:szCs w:val="21"/>
                <w:u w:val="none"/>
                <w:lang w:val="en-US" w:eastAsia="zh-CN"/>
              </w:rPr>
              <w:t>人民币</w:t>
            </w:r>
          </w:p>
          <w:p>
            <w:pPr>
              <w:pStyle w:val="19"/>
              <w:ind w:left="0" w:leftChars="0" w:firstLine="0" w:firstLineChars="0"/>
              <w:jc w:val="center"/>
              <w:rPr>
                <w:rFonts w:hint="default" w:asciiTheme="minorEastAsia" w:hAnsiTheme="minorEastAsia" w:cstheme="minorEastAsia"/>
                <w:b w:val="0"/>
                <w:bCs w:val="0"/>
                <w:kern w:val="2"/>
                <w:sz w:val="21"/>
                <w:szCs w:val="21"/>
                <w:u w:val="none"/>
                <w:lang w:val="en-US" w:eastAsia="zh-CN"/>
              </w:rPr>
            </w:pPr>
            <w:r>
              <w:rPr>
                <w:rFonts w:hint="eastAsia" w:asciiTheme="minorEastAsia" w:hAnsiTheme="minorEastAsia" w:cstheme="minorEastAsia"/>
                <w:b w:val="0"/>
                <w:bCs w:val="0"/>
                <w:kern w:val="2"/>
                <w:sz w:val="21"/>
                <w:szCs w:val="21"/>
                <w:u w:val="none"/>
                <w:lang w:val="en-US" w:eastAsia="zh-CN"/>
              </w:rPr>
              <w:t>400元</w:t>
            </w:r>
            <w:r>
              <w:rPr>
                <w:rFonts w:hint="eastAsia" w:ascii="宋体" w:hAnsi="宋体" w:eastAsia="宋体" w:cs="宋体"/>
                <w:b w:val="0"/>
                <w:bCs w:val="0"/>
                <w:kern w:val="2"/>
                <w:sz w:val="21"/>
                <w:szCs w:val="21"/>
                <w:u w:val="none"/>
                <w:lang w:val="en-US" w:eastAsia="zh-CN"/>
              </w:rPr>
              <w:t>／</w:t>
            </w:r>
            <w:r>
              <w:rPr>
                <w:rFonts w:hint="eastAsia" w:asciiTheme="minorEastAsia" w:hAnsiTheme="minorEastAsia" w:cstheme="minorEastAsia"/>
                <w:b w:val="0"/>
                <w:bCs w:val="0"/>
                <w:kern w:val="2"/>
                <w:sz w:val="21"/>
                <w:szCs w:val="21"/>
                <w:u w:val="none"/>
                <w:lang w:val="en-US" w:eastAsia="zh-CN"/>
              </w:rPr>
              <w:t>份</w:t>
            </w:r>
          </w:p>
        </w:tc>
        <w:tc>
          <w:tcPr>
            <w:tcW w:w="3888" w:type="dxa"/>
            <w:vAlign w:val="center"/>
          </w:tcPr>
          <w:p>
            <w:pPr>
              <w:pStyle w:val="19"/>
              <w:ind w:left="0" w:leftChars="0" w:firstLine="0" w:firstLineChars="0"/>
              <w:jc w:val="center"/>
              <w:rPr>
                <w:rFonts w:hint="eastAsia" w:asciiTheme="minorEastAsia" w:hAnsiTheme="minorEastAsia" w:cstheme="minorEastAsia"/>
                <w:b w:val="0"/>
                <w:bCs w:val="0"/>
                <w:kern w:val="2"/>
                <w:sz w:val="21"/>
                <w:szCs w:val="21"/>
                <w:u w:val="none"/>
                <w:lang w:val="en-US" w:eastAsia="zh-CN"/>
              </w:rPr>
            </w:pPr>
            <w:r>
              <w:rPr>
                <w:rFonts w:hint="eastAsia" w:asciiTheme="minorEastAsia" w:hAnsiTheme="minorEastAsia" w:cstheme="minorEastAsia"/>
                <w:b w:val="0"/>
                <w:bCs w:val="0"/>
                <w:kern w:val="2"/>
                <w:sz w:val="21"/>
                <w:szCs w:val="21"/>
                <w:u w:val="none"/>
                <w:lang w:val="en-US" w:eastAsia="zh-CN"/>
              </w:rPr>
              <w:t>小写：人民币</w:t>
            </w:r>
            <w:r>
              <w:rPr>
                <w:rFonts w:hint="eastAsia" w:asciiTheme="minorEastAsia" w:hAnsiTheme="minorEastAsia" w:cstheme="minorEastAsia"/>
                <w:b w:val="0"/>
                <w:bCs w:val="0"/>
                <w:kern w:val="2"/>
                <w:sz w:val="21"/>
                <w:szCs w:val="21"/>
                <w:u w:val="single"/>
                <w:lang w:val="en-US" w:eastAsia="zh-CN"/>
              </w:rPr>
              <w:t xml:space="preserve">                </w:t>
            </w:r>
            <w:r>
              <w:rPr>
                <w:rFonts w:hint="eastAsia" w:asciiTheme="minorEastAsia" w:hAnsiTheme="minorEastAsia" w:cstheme="minorEastAsia"/>
                <w:b w:val="0"/>
                <w:bCs w:val="0"/>
                <w:kern w:val="2"/>
                <w:sz w:val="21"/>
                <w:szCs w:val="21"/>
                <w:u w:val="none"/>
                <w:lang w:val="en-US" w:eastAsia="zh-CN"/>
              </w:rPr>
              <w:t>元</w:t>
            </w:r>
            <w:r>
              <w:rPr>
                <w:rFonts w:hint="eastAsia" w:ascii="宋体" w:hAnsi="宋体" w:eastAsia="宋体" w:cs="宋体"/>
                <w:b w:val="0"/>
                <w:bCs w:val="0"/>
                <w:kern w:val="2"/>
                <w:sz w:val="21"/>
                <w:szCs w:val="21"/>
                <w:u w:val="none"/>
                <w:lang w:val="en-US" w:eastAsia="zh-CN"/>
              </w:rPr>
              <w:t>／</w:t>
            </w:r>
            <w:r>
              <w:rPr>
                <w:rFonts w:hint="eastAsia" w:asciiTheme="minorEastAsia" w:hAnsiTheme="minorEastAsia" w:cstheme="minorEastAsia"/>
                <w:b w:val="0"/>
                <w:bCs w:val="0"/>
                <w:kern w:val="2"/>
                <w:sz w:val="21"/>
                <w:szCs w:val="21"/>
                <w:u w:val="none"/>
                <w:lang w:val="en-US" w:eastAsia="zh-CN"/>
              </w:rPr>
              <w:t>份</w:t>
            </w:r>
          </w:p>
          <w:p>
            <w:pPr>
              <w:pStyle w:val="19"/>
              <w:ind w:left="0" w:leftChars="0" w:firstLine="0" w:firstLineChars="0"/>
              <w:jc w:val="center"/>
              <w:rPr>
                <w:rFonts w:hint="eastAsia" w:asciiTheme="minorEastAsia" w:hAnsiTheme="minorEastAsia" w:cstheme="minorEastAsia"/>
                <w:b w:val="0"/>
                <w:bCs w:val="0"/>
                <w:kern w:val="2"/>
                <w:sz w:val="21"/>
                <w:szCs w:val="21"/>
                <w:u w:val="none"/>
                <w:lang w:val="en-US" w:eastAsia="zh-CN"/>
              </w:rPr>
            </w:pPr>
          </w:p>
          <w:p>
            <w:pPr>
              <w:pStyle w:val="19"/>
              <w:ind w:left="0" w:leftChars="0" w:firstLine="0" w:firstLineChars="0"/>
              <w:jc w:val="center"/>
              <w:rPr>
                <w:rFonts w:hint="default" w:asciiTheme="minorEastAsia" w:hAnsiTheme="minorEastAsia" w:cstheme="minorEastAsia"/>
                <w:b w:val="0"/>
                <w:bCs w:val="0"/>
                <w:kern w:val="2"/>
                <w:sz w:val="21"/>
                <w:szCs w:val="21"/>
                <w:u w:val="none"/>
                <w:lang w:val="en-US" w:eastAsia="zh-CN"/>
              </w:rPr>
            </w:pPr>
            <w:r>
              <w:rPr>
                <w:rFonts w:hint="eastAsia" w:asciiTheme="minorEastAsia" w:hAnsiTheme="minorEastAsia" w:cstheme="minorEastAsia"/>
                <w:b w:val="0"/>
                <w:bCs w:val="0"/>
                <w:kern w:val="2"/>
                <w:sz w:val="21"/>
                <w:szCs w:val="21"/>
                <w:u w:val="none"/>
                <w:lang w:val="en-US" w:eastAsia="zh-CN"/>
              </w:rPr>
              <w:t>大写：人民币</w:t>
            </w:r>
            <w:r>
              <w:rPr>
                <w:rFonts w:hint="eastAsia" w:asciiTheme="minorEastAsia" w:hAnsiTheme="minorEastAsia" w:cstheme="minorEastAsia"/>
                <w:b w:val="0"/>
                <w:bCs w:val="0"/>
                <w:kern w:val="2"/>
                <w:sz w:val="21"/>
                <w:szCs w:val="21"/>
                <w:u w:val="single"/>
                <w:lang w:val="en-US" w:eastAsia="zh-CN"/>
              </w:rPr>
              <w:t xml:space="preserve">                 </w:t>
            </w:r>
            <w:r>
              <w:rPr>
                <w:rFonts w:hint="eastAsia" w:asciiTheme="minorEastAsia" w:hAnsiTheme="minorEastAsia" w:cstheme="minorEastAsia"/>
                <w:b w:val="0"/>
                <w:bCs w:val="0"/>
                <w:kern w:val="2"/>
                <w:sz w:val="21"/>
                <w:szCs w:val="21"/>
                <w:u w:val="none"/>
                <w:lang w:val="en-US" w:eastAsia="zh-CN"/>
              </w:rPr>
              <w:t>元</w:t>
            </w:r>
            <w:r>
              <w:rPr>
                <w:rFonts w:hint="eastAsia" w:ascii="宋体" w:hAnsi="宋体" w:eastAsia="宋体" w:cs="宋体"/>
                <w:b w:val="0"/>
                <w:bCs w:val="0"/>
                <w:kern w:val="2"/>
                <w:sz w:val="21"/>
                <w:szCs w:val="21"/>
                <w:u w:val="none"/>
                <w:lang w:val="en-US" w:eastAsia="zh-CN"/>
              </w:rPr>
              <w:t>／</w:t>
            </w:r>
            <w:r>
              <w:rPr>
                <w:rFonts w:hint="eastAsia" w:asciiTheme="minorEastAsia" w:hAnsiTheme="minorEastAsia" w:cstheme="minorEastAsia"/>
                <w:b w:val="0"/>
                <w:bCs w:val="0"/>
                <w:kern w:val="2"/>
                <w:sz w:val="21"/>
                <w:szCs w:val="21"/>
                <w:u w:val="none"/>
                <w:lang w:val="en-US" w:eastAsia="zh-CN"/>
              </w:rPr>
              <w:t>份</w:t>
            </w:r>
          </w:p>
        </w:tc>
        <w:tc>
          <w:tcPr>
            <w:tcW w:w="1206" w:type="dxa"/>
            <w:vAlign w:val="center"/>
          </w:tcPr>
          <w:p>
            <w:pPr>
              <w:pageBreakBefore w:val="0"/>
              <w:kinsoku/>
              <w:wordWrap/>
              <w:overflowPunct/>
              <w:topLinePunct w:val="0"/>
              <w:bidi w:val="0"/>
              <w:snapToGrid w:val="0"/>
              <w:spacing w:line="340" w:lineRule="exact"/>
              <w:jc w:val="both"/>
              <w:rPr>
                <w:rFonts w:hint="eastAsia" w:asciiTheme="minorEastAsia" w:hAnsiTheme="minorEastAsia" w:eastAsiaTheme="minorEastAsia" w:cstheme="minorEastAsia"/>
                <w:b/>
                <w:kern w:val="2"/>
                <w:sz w:val="21"/>
                <w:szCs w:val="21"/>
                <w:u w:val="single"/>
              </w:rPr>
            </w:pPr>
            <w:r>
              <w:rPr>
                <w:rFonts w:hint="eastAsia" w:asciiTheme="minorEastAsia" w:hAnsiTheme="minorEastAsia" w:eastAsiaTheme="minorEastAsia" w:cstheme="minorEastAsia"/>
                <w:sz w:val="21"/>
                <w:szCs w:val="21"/>
                <w:lang w:val="en-US" w:eastAsia="zh-CN"/>
              </w:rPr>
              <w:t>合同期限202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年1月1日至12月31日</w:t>
            </w:r>
            <w:r>
              <w:rPr>
                <w:rFonts w:hint="eastAsia" w:asciiTheme="minorEastAsia" w:hAnsiTheme="minorEastAsia" w:cstheme="minorEastAsia"/>
                <w:sz w:val="21"/>
                <w:szCs w:val="21"/>
                <w:lang w:val="en-US" w:eastAsia="zh-CN"/>
              </w:rPr>
              <w:t>。</w:t>
            </w:r>
          </w:p>
        </w:tc>
        <w:tc>
          <w:tcPr>
            <w:tcW w:w="1130" w:type="dxa"/>
            <w:vAlign w:val="center"/>
          </w:tcPr>
          <w:p>
            <w:pPr>
              <w:pageBreakBefore w:val="0"/>
              <w:kinsoku/>
              <w:wordWrap/>
              <w:overflowPunct/>
              <w:topLinePunct w:val="0"/>
              <w:bidi w:val="0"/>
              <w:snapToGrid w:val="0"/>
              <w:spacing w:line="340" w:lineRule="exact"/>
              <w:ind w:left="11" w:leftChars="0" w:firstLine="422" w:firstLineChars="200"/>
              <w:jc w:val="center"/>
              <w:rPr>
                <w:rFonts w:hint="eastAsia" w:asciiTheme="minorEastAsia" w:hAnsiTheme="minorEastAsia" w:eastAsiaTheme="minorEastAsia" w:cstheme="minorEastAsia"/>
                <w:b/>
                <w:kern w:val="2"/>
                <w:sz w:val="21"/>
                <w:szCs w:val="21"/>
              </w:rPr>
            </w:pPr>
          </w:p>
        </w:tc>
      </w:tr>
    </w:tbl>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rPr>
          <w:rFonts w:ascii="宋体" w:hAnsi="宋体"/>
          <w:b w:val="0"/>
          <w:bCs/>
          <w:spacing w:val="4"/>
          <w:szCs w:val="21"/>
        </w:rPr>
      </w:pPr>
      <w:r>
        <w:rPr>
          <w:rFonts w:hint="eastAsia" w:ascii="宋体" w:hAnsi="宋体"/>
          <w:b w:val="0"/>
          <w:bCs/>
          <w:spacing w:val="4"/>
          <w:szCs w:val="21"/>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20" w:firstLineChars="192"/>
        <w:jc w:val="left"/>
        <w:textAlignment w:val="auto"/>
        <w:rPr>
          <w:rFonts w:ascii="宋体" w:hAnsi="宋体"/>
          <w:b w:val="0"/>
          <w:bCs/>
          <w:color w:val="auto"/>
          <w:sz w:val="21"/>
          <w:szCs w:val="21"/>
          <w:u w:val="none"/>
        </w:rPr>
      </w:pPr>
      <w:r>
        <w:rPr>
          <w:rFonts w:hint="eastAsia" w:ascii="宋体" w:hAnsi="宋体"/>
          <w:b/>
          <w:bCs w:val="0"/>
          <w:color w:val="auto"/>
          <w:spacing w:val="4"/>
          <w:sz w:val="21"/>
          <w:szCs w:val="21"/>
          <w:u w:val="none"/>
          <w:lang w:val="en-US" w:eastAsia="zh-CN"/>
        </w:rPr>
        <w:t>1.</w:t>
      </w:r>
      <w:r>
        <w:rPr>
          <w:rFonts w:hint="eastAsia" w:ascii="宋体" w:hAnsi="宋体"/>
          <w:b w:val="0"/>
          <w:bCs/>
          <w:color w:val="auto"/>
          <w:spacing w:val="4"/>
          <w:sz w:val="21"/>
          <w:szCs w:val="21"/>
          <w:u w:val="none"/>
          <w:lang w:val="en-US" w:eastAsia="zh-CN"/>
        </w:rPr>
        <w:t>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rPr>
      </w:pPr>
      <w:r>
        <w:rPr>
          <w:rFonts w:hint="eastAsia" w:asciiTheme="minorEastAsia" w:hAnsiTheme="minorEastAsia" w:cstheme="minorEastAsia"/>
          <w:spacing w:val="4"/>
          <w:sz w:val="21"/>
          <w:szCs w:val="21"/>
          <w:lang w:val="en-US" w:eastAsia="zh-CN"/>
        </w:rPr>
        <w:t>2</w:t>
      </w:r>
      <w:r>
        <w:rPr>
          <w:rFonts w:hint="eastAsia" w:asciiTheme="minorEastAsia" w:hAnsiTheme="minorEastAsia" w:eastAsiaTheme="minorEastAsia" w:cstheme="minorEastAsia"/>
          <w:spacing w:val="4"/>
          <w:sz w:val="21"/>
          <w:szCs w:val="21"/>
        </w:rPr>
        <w:t>.</w:t>
      </w:r>
      <w:r>
        <w:rPr>
          <w:rFonts w:hint="eastAsia" w:ascii="宋体" w:hAnsi="宋体"/>
          <w:spacing w:val="4"/>
          <w:szCs w:val="21"/>
        </w:rPr>
        <w:t>供应商按单价报蛋糕券（含贺卡）</w:t>
      </w:r>
      <w:r>
        <w:rPr>
          <w:rFonts w:hint="eastAsia" w:ascii="宋体" w:hAnsi="宋体"/>
          <w:spacing w:val="4"/>
          <w:szCs w:val="21"/>
          <w:lang w:val="en-US" w:eastAsia="zh-CN"/>
        </w:rPr>
        <w:t>优惠后</w:t>
      </w:r>
      <w:r>
        <w:rPr>
          <w:rFonts w:hint="eastAsia" w:ascii="宋体" w:hAnsi="宋体"/>
          <w:spacing w:val="4"/>
          <w:szCs w:val="21"/>
        </w:rPr>
        <w:t>的实际面值，报</w:t>
      </w:r>
      <w:bookmarkStart w:id="0" w:name="_GoBack"/>
      <w:bookmarkEnd w:id="0"/>
      <w:r>
        <w:rPr>
          <w:rFonts w:hint="eastAsia" w:ascii="宋体" w:hAnsi="宋体"/>
          <w:spacing w:val="4"/>
          <w:szCs w:val="21"/>
        </w:rPr>
        <w:t>价不得低于</w:t>
      </w:r>
      <w:r>
        <w:rPr>
          <w:rFonts w:hint="eastAsia" w:ascii="宋体" w:hAnsi="宋体"/>
          <w:spacing w:val="4"/>
          <w:szCs w:val="21"/>
          <w:lang w:val="en-US" w:eastAsia="zh-CN"/>
        </w:rPr>
        <w:t>结算价</w:t>
      </w:r>
      <w:r>
        <w:rPr>
          <w:rFonts w:hint="eastAsia" w:ascii="宋体" w:hAnsi="宋体"/>
          <w:spacing w:val="4"/>
          <w:szCs w:val="21"/>
        </w:rPr>
        <w:t>400</w:t>
      </w:r>
      <w:r>
        <w:rPr>
          <w:rFonts w:hint="eastAsia" w:ascii="宋体" w:hAnsi="宋体"/>
          <w:b w:val="0"/>
          <w:bCs w:val="0"/>
          <w:spacing w:val="4"/>
          <w:szCs w:val="21"/>
        </w:rPr>
        <w:t>元</w:t>
      </w:r>
      <w:r>
        <w:rPr>
          <w:rFonts w:hint="eastAsia" w:asciiTheme="minorEastAsia" w:hAnsiTheme="minorEastAsia" w:eastAsiaTheme="minorEastAsia" w:cstheme="minorEastAsia"/>
          <w:b w:val="0"/>
          <w:bCs w:val="0"/>
          <w:sz w:val="21"/>
          <w:szCs w:val="21"/>
          <w:lang w:val="en-US" w:eastAsia="zh-CN"/>
        </w:rPr>
        <w:t>/份</w:t>
      </w:r>
      <w:r>
        <w:rPr>
          <w:rFonts w:hint="eastAsia" w:asciiTheme="minorEastAsia" w:hAnsiTheme="minorEastAsia" w:cstheme="minorEastAsia"/>
          <w:b w:val="0"/>
          <w:bCs w:val="0"/>
          <w:sz w:val="21"/>
          <w:szCs w:val="21"/>
          <w:lang w:val="en-US" w:eastAsia="zh-CN"/>
        </w:rPr>
        <w:t>（不含本数）</w:t>
      </w:r>
      <w:r>
        <w:rPr>
          <w:rFonts w:hint="eastAsia" w:ascii="宋体" w:hAnsi="宋体"/>
          <w:b w:val="0"/>
          <w:bCs w:val="0"/>
          <w:spacing w:val="4"/>
          <w:szCs w:val="21"/>
        </w:rPr>
        <w:t>，</w:t>
      </w:r>
      <w:r>
        <w:rPr>
          <w:rFonts w:hint="eastAsia" w:ascii="宋体" w:hAnsi="宋体"/>
          <w:spacing w:val="4"/>
          <w:szCs w:val="21"/>
        </w:rPr>
        <w:t>否则将作无效报价处理；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3</w:t>
      </w:r>
      <w:r>
        <w:rPr>
          <w:rFonts w:hint="eastAsia" w:ascii="宋体" w:hAnsi="宋体"/>
          <w:spacing w:val="4"/>
          <w:szCs w:val="21"/>
        </w:rPr>
        <w:t>.响应供应商报价包含产品价格、售后服务、保险、税金等一切费用</w:t>
      </w:r>
      <w:r>
        <w:rPr>
          <w:rFonts w:hint="eastAsia" w:ascii="宋体" w:hAnsi="宋体"/>
          <w:spacing w:val="4"/>
          <w:szCs w:val="21"/>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宋体" w:hAnsi="宋体"/>
          <w:spacing w:val="4"/>
          <w:szCs w:val="21"/>
        </w:rPr>
      </w:pP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报价文件大写金额和小写金额不一致的，以大写金额为准；总价金额</w:t>
      </w:r>
      <w:r>
        <w:rPr>
          <w:rFonts w:hint="eastAsia" w:asciiTheme="minorEastAsia" w:hAnsiTheme="minorEastAsia" w:eastAsiaTheme="minorEastAsia" w:cstheme="minorEastAsia"/>
          <w:color w:val="000000"/>
          <w:sz w:val="21"/>
          <w:szCs w:val="21"/>
        </w:rPr>
        <w:t>与按单价计算汇总金额不一致的，以单价计算汇总金额为准；单价金额小数点有明显错位的，应以总价为准，并修改单价</w:t>
      </w:r>
      <w:r>
        <w:rPr>
          <w:rFonts w:hint="eastAsia" w:ascii="宋体" w:hAnsi="宋体"/>
          <w:spacing w:val="4"/>
          <w:szCs w:val="21"/>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宋体" w:hAnsi="宋体"/>
          <w:spacing w:val="4"/>
          <w:szCs w:val="21"/>
        </w:rPr>
      </w:pPr>
    </w:p>
    <w:p>
      <w:pPr>
        <w:pStyle w:val="19"/>
        <w:rPr>
          <w:rFonts w:hint="eastAsia"/>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6460"/>
    <w:multiLevelType w:val="singleLevel"/>
    <w:tmpl w:val="11336460"/>
    <w:lvl w:ilvl="0" w:tentative="0">
      <w:start w:val="1"/>
      <w:numFmt w:val="chineseCounting"/>
      <w:suff w:val="space"/>
      <w:lvlText w:val="第%1章"/>
      <w:lvlJc w:val="left"/>
      <w:rPr>
        <w:rFonts w:hint="eastAsia"/>
      </w:rPr>
    </w:lvl>
  </w:abstractNum>
  <w:abstractNum w:abstractNumId="1">
    <w:nsid w:val="367470D5"/>
    <w:multiLevelType w:val="singleLevel"/>
    <w:tmpl w:val="367470D5"/>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A31A95"/>
    <w:rsid w:val="00E21113"/>
    <w:rsid w:val="00EE48ED"/>
    <w:rsid w:val="0155715C"/>
    <w:rsid w:val="01C728D0"/>
    <w:rsid w:val="01C76C75"/>
    <w:rsid w:val="03356B49"/>
    <w:rsid w:val="03F95B09"/>
    <w:rsid w:val="04814D9C"/>
    <w:rsid w:val="04C27B6C"/>
    <w:rsid w:val="04D76B7C"/>
    <w:rsid w:val="05601E08"/>
    <w:rsid w:val="059F672B"/>
    <w:rsid w:val="079642AF"/>
    <w:rsid w:val="07A40D36"/>
    <w:rsid w:val="07C871BD"/>
    <w:rsid w:val="08F6786C"/>
    <w:rsid w:val="08FF4AC8"/>
    <w:rsid w:val="09657090"/>
    <w:rsid w:val="09C22DF1"/>
    <w:rsid w:val="0A034C37"/>
    <w:rsid w:val="0B3C2B55"/>
    <w:rsid w:val="0BC5664A"/>
    <w:rsid w:val="0BDA4A8E"/>
    <w:rsid w:val="0BF91E6C"/>
    <w:rsid w:val="0C1634F8"/>
    <w:rsid w:val="0C373B85"/>
    <w:rsid w:val="0CAD59F1"/>
    <w:rsid w:val="0D226E45"/>
    <w:rsid w:val="0D733351"/>
    <w:rsid w:val="0D934A87"/>
    <w:rsid w:val="0F1B3E67"/>
    <w:rsid w:val="0F444DAE"/>
    <w:rsid w:val="10662DEA"/>
    <w:rsid w:val="108C2E8A"/>
    <w:rsid w:val="11216B9A"/>
    <w:rsid w:val="11B25927"/>
    <w:rsid w:val="1236521F"/>
    <w:rsid w:val="123D6A4D"/>
    <w:rsid w:val="125F48C7"/>
    <w:rsid w:val="1274634C"/>
    <w:rsid w:val="1397165D"/>
    <w:rsid w:val="14F77FDF"/>
    <w:rsid w:val="16170DC7"/>
    <w:rsid w:val="16413E71"/>
    <w:rsid w:val="16737FD7"/>
    <w:rsid w:val="16B31506"/>
    <w:rsid w:val="16F50701"/>
    <w:rsid w:val="177B507F"/>
    <w:rsid w:val="186D7D0F"/>
    <w:rsid w:val="18BF5150"/>
    <w:rsid w:val="18D709F9"/>
    <w:rsid w:val="19217460"/>
    <w:rsid w:val="19C1544E"/>
    <w:rsid w:val="19DA1D52"/>
    <w:rsid w:val="1B03180F"/>
    <w:rsid w:val="1B34727B"/>
    <w:rsid w:val="1BED1A6A"/>
    <w:rsid w:val="1BFA5FCE"/>
    <w:rsid w:val="1D926F05"/>
    <w:rsid w:val="1E450B58"/>
    <w:rsid w:val="1EAF3611"/>
    <w:rsid w:val="20947A18"/>
    <w:rsid w:val="21A03B8D"/>
    <w:rsid w:val="21A3268F"/>
    <w:rsid w:val="21C36F1F"/>
    <w:rsid w:val="21F7526F"/>
    <w:rsid w:val="22854441"/>
    <w:rsid w:val="22874A56"/>
    <w:rsid w:val="24D43041"/>
    <w:rsid w:val="255C570C"/>
    <w:rsid w:val="25E67716"/>
    <w:rsid w:val="26132350"/>
    <w:rsid w:val="264F26CE"/>
    <w:rsid w:val="265E0F6A"/>
    <w:rsid w:val="27832B2E"/>
    <w:rsid w:val="28A27EE1"/>
    <w:rsid w:val="29421331"/>
    <w:rsid w:val="2A270A75"/>
    <w:rsid w:val="2AA661B2"/>
    <w:rsid w:val="2C627AC8"/>
    <w:rsid w:val="2CB64158"/>
    <w:rsid w:val="2D2B4C40"/>
    <w:rsid w:val="2D5007B8"/>
    <w:rsid w:val="2D7B5115"/>
    <w:rsid w:val="2DBC2E0A"/>
    <w:rsid w:val="2EA43CCB"/>
    <w:rsid w:val="2F062F75"/>
    <w:rsid w:val="2F2F0429"/>
    <w:rsid w:val="2FB478F7"/>
    <w:rsid w:val="2FC95D81"/>
    <w:rsid w:val="303B299D"/>
    <w:rsid w:val="31006CD9"/>
    <w:rsid w:val="31041AAE"/>
    <w:rsid w:val="310606C6"/>
    <w:rsid w:val="318656D8"/>
    <w:rsid w:val="332D2CD8"/>
    <w:rsid w:val="33597986"/>
    <w:rsid w:val="34364FAB"/>
    <w:rsid w:val="3537160E"/>
    <w:rsid w:val="3763592E"/>
    <w:rsid w:val="37B54E1D"/>
    <w:rsid w:val="37B81BEC"/>
    <w:rsid w:val="384C022E"/>
    <w:rsid w:val="38787AEA"/>
    <w:rsid w:val="38F92A66"/>
    <w:rsid w:val="3A8676EF"/>
    <w:rsid w:val="3B0E690B"/>
    <w:rsid w:val="3B2A5C2E"/>
    <w:rsid w:val="3BF542A8"/>
    <w:rsid w:val="3D150CAC"/>
    <w:rsid w:val="3DA857AD"/>
    <w:rsid w:val="3DC84A9A"/>
    <w:rsid w:val="3DEA06D8"/>
    <w:rsid w:val="3DFE6052"/>
    <w:rsid w:val="3EF24ED3"/>
    <w:rsid w:val="3F1E66CB"/>
    <w:rsid w:val="3FB21705"/>
    <w:rsid w:val="3FCB5625"/>
    <w:rsid w:val="3FE77A82"/>
    <w:rsid w:val="4017186C"/>
    <w:rsid w:val="40D2314A"/>
    <w:rsid w:val="412B3BD0"/>
    <w:rsid w:val="41711287"/>
    <w:rsid w:val="42B82368"/>
    <w:rsid w:val="435726A3"/>
    <w:rsid w:val="43F7549F"/>
    <w:rsid w:val="44074471"/>
    <w:rsid w:val="448254C5"/>
    <w:rsid w:val="45020FFD"/>
    <w:rsid w:val="458E49C6"/>
    <w:rsid w:val="468E2CEF"/>
    <w:rsid w:val="46F05C0A"/>
    <w:rsid w:val="47007902"/>
    <w:rsid w:val="47502192"/>
    <w:rsid w:val="47966D99"/>
    <w:rsid w:val="487E065C"/>
    <w:rsid w:val="48C37DF8"/>
    <w:rsid w:val="497E3370"/>
    <w:rsid w:val="4A0A5682"/>
    <w:rsid w:val="4B1B2583"/>
    <w:rsid w:val="4C7B4010"/>
    <w:rsid w:val="4CC911A2"/>
    <w:rsid w:val="4D3648E2"/>
    <w:rsid w:val="4D4A51B9"/>
    <w:rsid w:val="4E306D68"/>
    <w:rsid w:val="4EB20057"/>
    <w:rsid w:val="4F3E14BF"/>
    <w:rsid w:val="4FB67A4E"/>
    <w:rsid w:val="4FE23E7C"/>
    <w:rsid w:val="50356E5C"/>
    <w:rsid w:val="50D85556"/>
    <w:rsid w:val="515E7A70"/>
    <w:rsid w:val="517B4F66"/>
    <w:rsid w:val="5209190E"/>
    <w:rsid w:val="53B264F4"/>
    <w:rsid w:val="540532C3"/>
    <w:rsid w:val="54117BA3"/>
    <w:rsid w:val="54561298"/>
    <w:rsid w:val="54B57A63"/>
    <w:rsid w:val="54F77316"/>
    <w:rsid w:val="556361ED"/>
    <w:rsid w:val="577B5528"/>
    <w:rsid w:val="587B3035"/>
    <w:rsid w:val="592F1A5A"/>
    <w:rsid w:val="59DA2EC6"/>
    <w:rsid w:val="59F138CC"/>
    <w:rsid w:val="5ACF512A"/>
    <w:rsid w:val="5B4A21F6"/>
    <w:rsid w:val="5BCD10E7"/>
    <w:rsid w:val="5C146BE0"/>
    <w:rsid w:val="5CA85FC8"/>
    <w:rsid w:val="5E3566E1"/>
    <w:rsid w:val="5E7B1081"/>
    <w:rsid w:val="5EB66D4F"/>
    <w:rsid w:val="601F6302"/>
    <w:rsid w:val="60650761"/>
    <w:rsid w:val="619F122B"/>
    <w:rsid w:val="61FC6373"/>
    <w:rsid w:val="629D2314"/>
    <w:rsid w:val="62DA79EE"/>
    <w:rsid w:val="63257394"/>
    <w:rsid w:val="63B9340E"/>
    <w:rsid w:val="6455458D"/>
    <w:rsid w:val="659D3C90"/>
    <w:rsid w:val="663E38C4"/>
    <w:rsid w:val="667B2FA0"/>
    <w:rsid w:val="680C357D"/>
    <w:rsid w:val="68BA5EAF"/>
    <w:rsid w:val="68E34353"/>
    <w:rsid w:val="69137A6D"/>
    <w:rsid w:val="692C1847"/>
    <w:rsid w:val="698424F1"/>
    <w:rsid w:val="698F20E1"/>
    <w:rsid w:val="69AA012B"/>
    <w:rsid w:val="69CB1013"/>
    <w:rsid w:val="6AA8021D"/>
    <w:rsid w:val="6BC46931"/>
    <w:rsid w:val="6C24177E"/>
    <w:rsid w:val="6D0D7448"/>
    <w:rsid w:val="6E05221F"/>
    <w:rsid w:val="6E3C39C3"/>
    <w:rsid w:val="6E9F61F7"/>
    <w:rsid w:val="6F556DC3"/>
    <w:rsid w:val="6FD13409"/>
    <w:rsid w:val="703334D2"/>
    <w:rsid w:val="70391CB1"/>
    <w:rsid w:val="71AD6345"/>
    <w:rsid w:val="71BF53D6"/>
    <w:rsid w:val="71ED654D"/>
    <w:rsid w:val="720C154E"/>
    <w:rsid w:val="72150491"/>
    <w:rsid w:val="721A1E72"/>
    <w:rsid w:val="721F7183"/>
    <w:rsid w:val="72F025FA"/>
    <w:rsid w:val="7353136B"/>
    <w:rsid w:val="735340BF"/>
    <w:rsid w:val="73656151"/>
    <w:rsid w:val="739853EE"/>
    <w:rsid w:val="745449E5"/>
    <w:rsid w:val="74747C07"/>
    <w:rsid w:val="74FC0165"/>
    <w:rsid w:val="75A60F84"/>
    <w:rsid w:val="762A42EA"/>
    <w:rsid w:val="76595236"/>
    <w:rsid w:val="76AF11FD"/>
    <w:rsid w:val="77192436"/>
    <w:rsid w:val="77350F71"/>
    <w:rsid w:val="7745190F"/>
    <w:rsid w:val="77904BBB"/>
    <w:rsid w:val="77FF0EFA"/>
    <w:rsid w:val="78B25D50"/>
    <w:rsid w:val="7AF95F25"/>
    <w:rsid w:val="7B3F258A"/>
    <w:rsid w:val="7BBA695C"/>
    <w:rsid w:val="7D5C12AC"/>
    <w:rsid w:val="7EC040B2"/>
    <w:rsid w:val="7F0F0234"/>
    <w:rsid w:val="7F312660"/>
    <w:rsid w:val="7F3B40D5"/>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5">
    <w:name w:val="Normal Indent"/>
    <w:basedOn w:val="1"/>
    <w:qFormat/>
    <w:uiPriority w:val="0"/>
    <w:pPr>
      <w:ind w:firstLine="420"/>
    </w:pPr>
    <w:rPr>
      <w:szCs w:val="20"/>
    </w:rPr>
  </w:style>
  <w:style w:type="paragraph" w:styleId="6">
    <w:name w:val="Body Text"/>
    <w:basedOn w:val="1"/>
    <w:qFormat/>
    <w:uiPriority w:val="0"/>
    <w:pPr>
      <w:tabs>
        <w:tab w:val="left" w:pos="562"/>
        <w:tab w:val="left" w:pos="3372"/>
        <w:tab w:val="left" w:pos="3653"/>
      </w:tabs>
    </w:pPr>
    <w:rPr>
      <w:sz w:val="24"/>
    </w:rPr>
  </w:style>
  <w:style w:type="paragraph" w:styleId="7">
    <w:name w:val="Body Text Indent"/>
    <w:basedOn w:val="1"/>
    <w:next w:val="8"/>
    <w:qFormat/>
    <w:uiPriority w:val="0"/>
    <w:pPr>
      <w:ind w:left="420"/>
    </w:pPr>
  </w:style>
  <w:style w:type="paragraph" w:styleId="8">
    <w:name w:val="envelope return"/>
    <w:basedOn w:val="1"/>
    <w:qFormat/>
    <w:uiPriority w:val="0"/>
    <w:pPr>
      <w:autoSpaceDE/>
      <w:autoSpaceDN/>
      <w:adjustRightInd/>
      <w:snapToGrid w:val="0"/>
      <w:jc w:val="both"/>
    </w:pPr>
    <w:rPr>
      <w:rFonts w:ascii="Arial" w:hAnsi="Arial" w:cs="Arial"/>
      <w:kern w:val="2"/>
      <w:sz w:val="21"/>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qFormat/>
    <w:uiPriority w:val="0"/>
    <w:pPr>
      <w:widowControl/>
      <w:spacing w:after="120"/>
      <w:ind w:leftChars="200" w:firstLine="420" w:firstLineChars="200"/>
      <w:jc w:val="left"/>
    </w:pPr>
    <w:rPr>
      <w:rFonts w:ascii="Times New Roman" w:hAnsi="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3"/>
    <w:basedOn w:val="1"/>
    <w:qFormat/>
    <w:uiPriority w:val="0"/>
    <w:pPr>
      <w:ind w:firstLine="420" w:firstLineChars="200"/>
    </w:pPr>
    <w:rPr>
      <w:sz w:val="20"/>
    </w:r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保留正文"/>
    <w:basedOn w:val="6"/>
    <w:qFormat/>
    <w:uiPriority w:val="0"/>
    <w:pPr>
      <w:keepNext/>
      <w:spacing w:after="160"/>
    </w:pPr>
    <w:rPr>
      <w:sz w:val="21"/>
    </w:rPr>
  </w:style>
  <w:style w:type="character" w:customStyle="1" w:styleId="23">
    <w:name w:val="NormalCharacter"/>
    <w:semiHidden/>
    <w:qFormat/>
    <w:uiPriority w:val="99"/>
  </w:style>
  <w:style w:type="paragraph" w:customStyle="1" w:styleId="24">
    <w:name w:val="正文正"/>
    <w:basedOn w:val="1"/>
    <w:qFormat/>
    <w:uiPriority w:val="0"/>
    <w:pPr>
      <w:spacing w:line="560" w:lineRule="exact"/>
      <w:ind w:firstLine="561"/>
    </w:pPr>
    <w:rPr>
      <w:rFonts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朱细娥</cp:lastModifiedBy>
  <cp:lastPrinted>2023-07-24T03:02:00Z</cp:lastPrinted>
  <dcterms:modified xsi:type="dcterms:W3CDTF">2024-11-28T00:48:23Z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