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广东省河源监狱工会</w:t>
      </w: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202</w:t>
      </w:r>
      <w:r>
        <w:rPr>
          <w:rFonts w:ascii="宋体" w:hAnsi="宋体" w:cs="宋体"/>
          <w:b/>
          <w:iCs/>
          <w:sz w:val="52"/>
          <w:szCs w:val="52"/>
        </w:rPr>
        <w:t>5</w:t>
      </w:r>
      <w:r>
        <w:rPr>
          <w:rFonts w:hint="eastAsia" w:ascii="宋体" w:hAnsi="宋体" w:cs="宋体"/>
          <w:b/>
          <w:iCs/>
          <w:sz w:val="52"/>
          <w:szCs w:val="52"/>
        </w:rPr>
        <w:t>年会员电影券采购项目</w:t>
      </w:r>
    </w:p>
    <w:p>
      <w:pPr>
        <w:spacing w:before="156" w:beforeLines="50" w:line="360" w:lineRule="auto"/>
        <w:jc w:val="center"/>
        <w:rPr>
          <w:rFonts w:hint="eastAsia" w:ascii="宋体" w:hAnsi="宋体" w:cs="宋体"/>
          <w:b/>
          <w:iCs/>
          <w:sz w:val="44"/>
          <w:szCs w:val="44"/>
        </w:rPr>
      </w:pP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jc w:val="center"/>
        <w:rPr>
          <w:rFonts w:hint="eastAsia"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GZSW24201FJ4183</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11</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4"/>
        <w:jc w:val="center"/>
        <w:rPr>
          <w:rFonts w:hint="eastAsia" w:cs="宋体"/>
          <w:b/>
        </w:rPr>
      </w:pPr>
      <w:r>
        <w:rPr>
          <w:rFonts w:hint="eastAsia" w:cs="宋体"/>
        </w:rPr>
        <w:t>第一部分:竞价公告……………………………………………1</w:t>
      </w:r>
    </w:p>
    <w:p>
      <w:pPr>
        <w:pStyle w:val="4"/>
        <w:jc w:val="center"/>
        <w:rPr>
          <w:rFonts w:hint="eastAsia" w:cs="宋体"/>
        </w:rPr>
      </w:pPr>
      <w:r>
        <w:rPr>
          <w:rFonts w:hint="eastAsia" w:cs="宋体"/>
        </w:rPr>
        <w:t>第二部分:项目需求书…………………………………………4</w:t>
      </w:r>
    </w:p>
    <w:p>
      <w:pPr>
        <w:pStyle w:val="4"/>
        <w:jc w:val="center"/>
        <w:rPr>
          <w:rFonts w:hint="eastAsia" w:cs="宋体"/>
        </w:rPr>
      </w:pPr>
      <w:r>
        <w:rPr>
          <w:rFonts w:hint="eastAsia" w:cs="宋体"/>
        </w:rPr>
        <w:t>第三部分:竞价供应商须知……………………………………</w:t>
      </w:r>
      <w:r>
        <w:rPr>
          <w:rFonts w:cs="宋体"/>
        </w:rPr>
        <w:t>9</w:t>
      </w:r>
    </w:p>
    <w:p>
      <w:pPr>
        <w:pStyle w:val="4"/>
        <w:jc w:val="center"/>
        <w:rPr>
          <w:rFonts w:hint="eastAsia" w:cs="宋体"/>
        </w:rPr>
      </w:pPr>
      <w:r>
        <w:rPr>
          <w:rFonts w:hint="eastAsia" w:cs="宋体"/>
        </w:rPr>
        <w:t>第四部分:合同书格式…………………………………………1</w:t>
      </w:r>
      <w:r>
        <w:rPr>
          <w:rFonts w:cs="宋体"/>
        </w:rPr>
        <w:t>4</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第五部分:报价文件格式………………………………………1</w:t>
      </w:r>
      <w:r>
        <w:rPr>
          <w:rFonts w:cs="宋体"/>
        </w:rPr>
        <w:t>9</w:t>
      </w:r>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rPr>
          <w:rFonts w:hint="eastAsia"/>
        </w:rPr>
      </w:pPr>
      <w:bookmarkStart w:id="9" w:name="_GoBack"/>
      <w:bookmarkEnd w:id="9"/>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广州顺为招标采购有限公司（以下简称“采购代理机构”）受广东省河源监狱工会委员会（以下简称“采购人”）的委托就广东省河源监狱工会2025年会员电影券采购项目（项目编号：</w:t>
      </w:r>
      <w:r>
        <w:rPr>
          <w:rFonts w:ascii="宋体" w:hAnsi="宋体" w:cs="宋体"/>
          <w:szCs w:val="21"/>
        </w:rPr>
        <w:t>GZSW24201FJ4183</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广东省河源监狱工会2025年会员电影券采购项目</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人民币约</w:t>
      </w:r>
      <w:r>
        <w:rPr>
          <w:rFonts w:ascii="宋体" w:hAnsi="宋体" w:cs="宋体"/>
          <w:bCs/>
          <w:szCs w:val="21"/>
        </w:rPr>
        <w:t>287100</w:t>
      </w:r>
      <w:r>
        <w:rPr>
          <w:rFonts w:hint="eastAsia" w:ascii="宋体" w:hAnsi="宋体" w:cs="宋体"/>
          <w:bCs/>
          <w:szCs w:val="21"/>
        </w:rPr>
        <w:t>元（据实结算）</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Cs/>
          <w:szCs w:val="21"/>
        </w:rPr>
        <w:t>签订合同后10日内一次性送货，最迟送货期限为2025年1月15日</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1.供应商应具备《政府采购法》第二十二条规定的条件；</w:t>
      </w:r>
    </w:p>
    <w:p>
      <w:pPr>
        <w:spacing w:line="360" w:lineRule="auto"/>
        <w:ind w:firstLine="420" w:firstLineChars="200"/>
        <w:rPr>
          <w:rFonts w:hint="eastAsia" w:ascii="宋体" w:hAnsi="宋体" w:cs="宋体"/>
          <w:bCs/>
          <w:szCs w:val="21"/>
        </w:rPr>
      </w:pPr>
      <w:r>
        <w:rPr>
          <w:rFonts w:hint="eastAsia" w:ascii="宋体" w:hAnsi="宋体" w:cs="宋体"/>
          <w:bCs/>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420" w:firstLineChars="200"/>
        <w:rPr>
          <w:rFonts w:hint="eastAsia" w:ascii="宋体" w:hAnsi="宋体" w:cs="宋体"/>
          <w:bCs/>
          <w:szCs w:val="21"/>
        </w:rPr>
      </w:pPr>
      <w:r>
        <w:rPr>
          <w:rFonts w:hint="eastAsia" w:ascii="宋体" w:hAnsi="宋体" w:cs="宋体"/>
          <w:bCs/>
          <w:szCs w:val="21"/>
        </w:rPr>
        <w:t>3.本项目不允许联合体参加竞标，成交人不得分包或转包。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4.单位负责人为同一人或者存在直接控股、管理关系的不同成交供应商，不得参加同一合同项下的政府采购活动。</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r>
        <w:rPr>
          <w:rFonts w:hint="eastAsia" w:ascii="宋体" w:hAnsi="宋体" w:cs="宋体"/>
          <w:szCs w:val="21"/>
          <w:shd w:val="clear" w:color="auto" w:fill="FFFFFF"/>
        </w:rPr>
        <w:t>。</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采购人名称：广东省河源监狱工会委员会</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6"/>
          <w:rFonts w:hint="eastAsia" w:ascii="宋体" w:hAnsi="宋体" w:cs="宋体"/>
        </w:rPr>
        <w:t>www.gzswbc.com</w:t>
      </w:r>
      <w:r>
        <w:rPr>
          <w:rStyle w:val="26"/>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采购项目联系人姓名：刘先生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39</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snapToGrid w:val="0"/>
        <w:spacing w:line="360" w:lineRule="auto"/>
        <w:ind w:right="670" w:rightChars="319"/>
        <w:jc w:val="right"/>
        <w:rPr>
          <w:rFonts w:hint="default" w:ascii="宋体" w:hAnsi="宋体" w:eastAsia="宋体" w:cs="宋体"/>
          <w:lang w:val="en-US" w:eastAsia="zh-CN"/>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ascii="宋体" w:hAnsi="宋体" w:cs="宋体"/>
        </w:rPr>
        <w:t>11</w:t>
      </w:r>
      <w:r>
        <w:rPr>
          <w:rFonts w:hint="eastAsia" w:ascii="宋体" w:hAnsi="宋体" w:cs="宋体"/>
        </w:rPr>
        <w:t>月</w:t>
      </w:r>
      <w:r>
        <w:rPr>
          <w:rFonts w:hint="eastAsia" w:ascii="宋体" w:hAnsi="宋体" w:cs="宋体"/>
          <w:lang w:val="en-US" w:eastAsia="zh-CN"/>
        </w:rPr>
        <w:t>27日</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adjustRightInd w:val="0"/>
        <w:snapToGrid w:val="0"/>
        <w:spacing w:line="360" w:lineRule="auto"/>
        <w:rPr>
          <w:rFonts w:hint="eastAsia" w:ascii="宋体" w:hAnsi="宋体"/>
          <w:b/>
          <w:color w:val="auto"/>
          <w:sz w:val="24"/>
          <w:szCs w:val="24"/>
        </w:rPr>
      </w:pPr>
      <w:r>
        <w:rPr>
          <w:rFonts w:ascii="宋体" w:hAnsi="宋体"/>
          <w:b/>
          <w:color w:val="auto"/>
          <w:sz w:val="24"/>
          <w:szCs w:val="24"/>
        </w:rPr>
        <w:t>说明</w:t>
      </w:r>
      <w:r>
        <w:rPr>
          <w:rFonts w:hint="eastAsia" w:ascii="宋体" w:hAnsi="宋体"/>
          <w:b/>
          <w:color w:val="auto"/>
          <w:sz w:val="24"/>
          <w:szCs w:val="24"/>
        </w:rPr>
        <w:t>：</w:t>
      </w:r>
      <w:r>
        <w:rPr>
          <w:rFonts w:ascii="宋体" w:hAnsi="宋体"/>
          <w:b/>
          <w:color w:val="auto"/>
          <w:sz w:val="24"/>
          <w:szCs w:val="24"/>
        </w:rPr>
        <w:t>带</w:t>
      </w:r>
      <w:r>
        <w:rPr>
          <w:rFonts w:hint="eastAsia" w:ascii="宋体" w:hAnsi="宋体"/>
          <w:b/>
          <w:color w:val="auto"/>
          <w:sz w:val="24"/>
          <w:szCs w:val="24"/>
        </w:rPr>
        <w:t>★条款为必须提交材料要求，如有不满足将导致报价无效。</w:t>
      </w: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lang w:val="zh-CN"/>
        </w:rPr>
        <w:t>一览表：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33"/>
        <w:gridCol w:w="1560"/>
        <w:gridCol w:w="1133"/>
        <w:gridCol w:w="1560"/>
        <w:gridCol w:w="184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shd w:val="clear" w:color="auto" w:fill="auto"/>
            <w:vAlign w:val="center"/>
          </w:tcPr>
          <w:p>
            <w:pPr>
              <w:widowControl w:val="0"/>
              <w:spacing w:after="120"/>
              <w:jc w:val="center"/>
              <w:rPr>
                <w:b/>
                <w:kern w:val="2"/>
                <w:szCs w:val="24"/>
              </w:rPr>
            </w:pPr>
            <w:r>
              <w:rPr>
                <w:rFonts w:hint="eastAsia"/>
                <w:b/>
                <w:kern w:val="2"/>
                <w:szCs w:val="24"/>
              </w:rPr>
              <w:t>采购内容</w:t>
            </w:r>
          </w:p>
        </w:tc>
        <w:tc>
          <w:tcPr>
            <w:tcW w:w="1133" w:type="dxa"/>
            <w:shd w:val="clear" w:color="auto" w:fill="auto"/>
            <w:vAlign w:val="center"/>
          </w:tcPr>
          <w:p>
            <w:pPr>
              <w:widowControl w:val="0"/>
              <w:spacing w:after="120"/>
              <w:jc w:val="center"/>
              <w:rPr>
                <w:b/>
                <w:kern w:val="2"/>
                <w:szCs w:val="24"/>
              </w:rPr>
            </w:pPr>
            <w:r>
              <w:rPr>
                <w:rFonts w:hint="eastAsia"/>
                <w:b/>
                <w:kern w:val="2"/>
                <w:szCs w:val="24"/>
              </w:rPr>
              <w:t>数量（张）</w:t>
            </w:r>
          </w:p>
        </w:tc>
        <w:tc>
          <w:tcPr>
            <w:tcW w:w="1560" w:type="dxa"/>
            <w:shd w:val="clear" w:color="auto" w:fill="auto"/>
            <w:vAlign w:val="center"/>
          </w:tcPr>
          <w:p>
            <w:pPr>
              <w:widowControl w:val="0"/>
              <w:spacing w:after="120"/>
              <w:jc w:val="center"/>
              <w:rPr>
                <w:b/>
                <w:kern w:val="2"/>
                <w:szCs w:val="24"/>
              </w:rPr>
            </w:pPr>
            <w:r>
              <w:rPr>
                <w:rFonts w:hint="eastAsia"/>
                <w:b/>
                <w:kern w:val="2"/>
                <w:szCs w:val="24"/>
              </w:rPr>
              <w:t>结算单价（元）</w:t>
            </w:r>
          </w:p>
        </w:tc>
        <w:tc>
          <w:tcPr>
            <w:tcW w:w="1133" w:type="dxa"/>
            <w:shd w:val="clear" w:color="auto" w:fill="auto"/>
            <w:vAlign w:val="center"/>
          </w:tcPr>
          <w:p>
            <w:pPr>
              <w:widowControl w:val="0"/>
              <w:spacing w:after="120"/>
              <w:jc w:val="center"/>
              <w:rPr>
                <w:b/>
                <w:kern w:val="2"/>
                <w:szCs w:val="24"/>
              </w:rPr>
            </w:pPr>
            <w:r>
              <w:rPr>
                <w:rFonts w:hint="eastAsia"/>
                <w:b/>
                <w:kern w:val="2"/>
                <w:szCs w:val="24"/>
              </w:rPr>
              <w:t>总额（元）</w:t>
            </w:r>
          </w:p>
        </w:tc>
        <w:tc>
          <w:tcPr>
            <w:tcW w:w="1560" w:type="dxa"/>
            <w:shd w:val="clear" w:color="auto" w:fill="auto"/>
            <w:vAlign w:val="center"/>
          </w:tcPr>
          <w:p>
            <w:pPr>
              <w:widowControl w:val="0"/>
              <w:spacing w:after="120"/>
              <w:jc w:val="center"/>
              <w:rPr>
                <w:rFonts w:hint="eastAsia"/>
                <w:b/>
                <w:kern w:val="2"/>
                <w:szCs w:val="24"/>
              </w:rPr>
            </w:pPr>
            <w:r>
              <w:rPr>
                <w:rFonts w:hint="eastAsia"/>
                <w:b/>
                <w:kern w:val="2"/>
                <w:szCs w:val="24"/>
              </w:rPr>
              <w:t>每份电影通兑券最低总面额</w:t>
            </w:r>
          </w:p>
        </w:tc>
        <w:tc>
          <w:tcPr>
            <w:tcW w:w="1842" w:type="dxa"/>
            <w:shd w:val="clear" w:color="auto" w:fill="auto"/>
            <w:vAlign w:val="center"/>
          </w:tcPr>
          <w:p>
            <w:pPr>
              <w:widowControl w:val="0"/>
              <w:spacing w:after="120"/>
              <w:jc w:val="center"/>
              <w:rPr>
                <w:b/>
                <w:kern w:val="2"/>
                <w:szCs w:val="24"/>
              </w:rPr>
            </w:pPr>
            <w:r>
              <w:rPr>
                <w:rFonts w:hint="eastAsia"/>
                <w:b/>
                <w:kern w:val="2"/>
                <w:szCs w:val="24"/>
              </w:rPr>
              <w:t>交货期限</w:t>
            </w:r>
          </w:p>
        </w:tc>
        <w:tc>
          <w:tcPr>
            <w:tcW w:w="956" w:type="dxa"/>
            <w:shd w:val="clear" w:color="auto" w:fill="auto"/>
            <w:vAlign w:val="center"/>
          </w:tcPr>
          <w:p>
            <w:pPr>
              <w:widowControl w:val="0"/>
              <w:spacing w:after="120"/>
              <w:jc w:val="center"/>
              <w:rPr>
                <w:b/>
                <w:kern w:val="2"/>
                <w:szCs w:val="24"/>
              </w:rPr>
            </w:pPr>
            <w:r>
              <w:rPr>
                <w:rFonts w:hint="eastAsia"/>
                <w:b/>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shd w:val="clear" w:color="auto" w:fill="auto"/>
            <w:vAlign w:val="center"/>
          </w:tcPr>
          <w:p>
            <w:pPr>
              <w:widowControl w:val="0"/>
              <w:spacing w:after="120"/>
              <w:jc w:val="center"/>
              <w:rPr>
                <w:kern w:val="2"/>
                <w:szCs w:val="24"/>
              </w:rPr>
            </w:pPr>
            <w:r>
              <w:rPr>
                <w:rFonts w:hint="eastAsia"/>
                <w:kern w:val="2"/>
                <w:szCs w:val="24"/>
              </w:rPr>
              <w:t>电影券</w:t>
            </w:r>
          </w:p>
        </w:tc>
        <w:tc>
          <w:tcPr>
            <w:tcW w:w="1133" w:type="dxa"/>
            <w:shd w:val="clear" w:color="auto" w:fill="auto"/>
            <w:vAlign w:val="center"/>
          </w:tcPr>
          <w:p>
            <w:pPr>
              <w:widowControl w:val="0"/>
              <w:spacing w:after="120"/>
              <w:jc w:val="center"/>
              <w:rPr>
                <w:kern w:val="2"/>
                <w:szCs w:val="24"/>
              </w:rPr>
            </w:pPr>
            <w:r>
              <w:rPr>
                <w:rFonts w:hint="eastAsia"/>
                <w:kern w:val="2"/>
                <w:szCs w:val="24"/>
              </w:rPr>
              <w:t>约957</w:t>
            </w:r>
          </w:p>
        </w:tc>
        <w:tc>
          <w:tcPr>
            <w:tcW w:w="1560" w:type="dxa"/>
            <w:shd w:val="clear" w:color="auto" w:fill="auto"/>
            <w:vAlign w:val="center"/>
          </w:tcPr>
          <w:p>
            <w:pPr>
              <w:widowControl w:val="0"/>
              <w:spacing w:after="120"/>
              <w:jc w:val="center"/>
              <w:rPr>
                <w:kern w:val="2"/>
                <w:szCs w:val="24"/>
              </w:rPr>
            </w:pPr>
            <w:r>
              <w:rPr>
                <w:rFonts w:hint="eastAsia"/>
                <w:kern w:val="2"/>
                <w:szCs w:val="24"/>
              </w:rPr>
              <w:t>300</w:t>
            </w:r>
          </w:p>
        </w:tc>
        <w:tc>
          <w:tcPr>
            <w:tcW w:w="1133" w:type="dxa"/>
            <w:shd w:val="clear" w:color="auto" w:fill="auto"/>
            <w:vAlign w:val="center"/>
          </w:tcPr>
          <w:p>
            <w:pPr>
              <w:widowControl w:val="0"/>
              <w:spacing w:after="120"/>
              <w:jc w:val="center"/>
              <w:rPr>
                <w:kern w:val="2"/>
                <w:szCs w:val="24"/>
              </w:rPr>
            </w:pPr>
            <w:r>
              <w:rPr>
                <w:rFonts w:hint="eastAsia"/>
                <w:kern w:val="2"/>
                <w:szCs w:val="24"/>
              </w:rPr>
              <w:t>约287100</w:t>
            </w:r>
          </w:p>
        </w:tc>
        <w:tc>
          <w:tcPr>
            <w:tcW w:w="1560" w:type="dxa"/>
            <w:shd w:val="clear" w:color="auto" w:fill="auto"/>
            <w:vAlign w:val="center"/>
          </w:tcPr>
          <w:p>
            <w:pPr>
              <w:widowControl w:val="0"/>
              <w:jc w:val="both"/>
            </w:pPr>
            <w:r>
              <w:rPr>
                <w:rFonts w:hint="eastAsia"/>
              </w:rPr>
              <w:t>电影通兑券300元/人/份/年</w:t>
            </w:r>
          </w:p>
        </w:tc>
        <w:tc>
          <w:tcPr>
            <w:tcW w:w="1842" w:type="dxa"/>
            <w:shd w:val="clear" w:color="auto" w:fill="auto"/>
            <w:vAlign w:val="center"/>
          </w:tcPr>
          <w:p>
            <w:pPr>
              <w:widowControl w:val="0"/>
              <w:spacing w:after="120"/>
              <w:jc w:val="both"/>
              <w:rPr>
                <w:kern w:val="2"/>
                <w:szCs w:val="24"/>
              </w:rPr>
            </w:pPr>
            <w:r>
              <w:rPr>
                <w:rFonts w:hint="eastAsia"/>
                <w:kern w:val="2"/>
                <w:szCs w:val="24"/>
              </w:rPr>
              <w:t>签订合同后10日内一次性送货，最迟送货期限为2025年1月15日</w:t>
            </w:r>
          </w:p>
        </w:tc>
        <w:tc>
          <w:tcPr>
            <w:tcW w:w="956" w:type="dxa"/>
            <w:shd w:val="clear" w:color="auto" w:fill="auto"/>
            <w:vAlign w:val="center"/>
          </w:tcPr>
          <w:p>
            <w:pPr>
              <w:widowControl w:val="0"/>
              <w:spacing w:after="120"/>
              <w:jc w:val="both"/>
              <w:rPr>
                <w:kern w:val="2"/>
                <w:szCs w:val="24"/>
              </w:rPr>
            </w:pPr>
            <w:r>
              <w:rPr>
                <w:rFonts w:hint="eastAsia"/>
                <w:kern w:val="2"/>
                <w:szCs w:val="24"/>
              </w:rPr>
              <w:t>以实际采购数量为准</w:t>
            </w:r>
          </w:p>
        </w:tc>
      </w:tr>
    </w:tbl>
    <w:p>
      <w:pPr>
        <w:spacing w:line="360" w:lineRule="auto"/>
        <w:rPr>
          <w:rFonts w:ascii="宋体" w:hAnsi="宋体" w:cs="宋体"/>
          <w:b/>
          <w:bCs/>
          <w:kern w:val="44"/>
          <w:szCs w:val="21"/>
        </w:rPr>
      </w:pPr>
      <w:r>
        <w:rPr>
          <w:rFonts w:hint="eastAsia" w:ascii="宋体" w:hAnsi="宋体" w:cs="宋体"/>
          <w:b/>
          <w:bCs/>
          <w:kern w:val="44"/>
          <w:szCs w:val="21"/>
        </w:rPr>
        <w:t>二、服务标准：</w:t>
      </w:r>
    </w:p>
    <w:p>
      <w:pPr>
        <w:spacing w:line="360" w:lineRule="auto"/>
        <w:rPr>
          <w:rFonts w:ascii="宋体" w:hAnsi="宋体" w:cs="宋体"/>
          <w:b/>
          <w:bCs/>
          <w:kern w:val="44"/>
          <w:szCs w:val="21"/>
        </w:rPr>
      </w:pPr>
      <w:r>
        <w:rPr>
          <w:rFonts w:ascii="宋体" w:hAnsi="宋体" w:cs="宋体"/>
          <w:szCs w:val="21"/>
        </w:rPr>
        <w:t>（一）成交</w:t>
      </w:r>
      <w:r>
        <w:rPr>
          <w:rFonts w:hint="eastAsia" w:ascii="宋体" w:hAnsi="宋体" w:cs="宋体"/>
          <w:szCs w:val="21"/>
        </w:rPr>
        <w:t>供应商提供的电影券必须满足以下使用范围：</w:t>
      </w:r>
    </w:p>
    <w:p>
      <w:pPr>
        <w:spacing w:line="520" w:lineRule="exact"/>
        <w:ind w:firstLine="210" w:firstLineChars="100"/>
        <w:rPr>
          <w:rFonts w:hint="eastAsia" w:ascii="宋体" w:hAnsi="宋体" w:cs="宋体"/>
          <w:szCs w:val="21"/>
        </w:rPr>
      </w:pPr>
      <w:r>
        <w:rPr>
          <w:rFonts w:hint="eastAsia" w:ascii="宋体" w:hAnsi="宋体" w:cs="宋体"/>
          <w:szCs w:val="21"/>
        </w:rPr>
        <w:t>1.电影券须全国通兑。</w:t>
      </w:r>
    </w:p>
    <w:p>
      <w:pPr>
        <w:spacing w:line="520" w:lineRule="exact"/>
        <w:rPr>
          <w:rFonts w:ascii="宋体" w:hAnsi="宋体" w:cs="宋体"/>
          <w:b/>
          <w:szCs w:val="21"/>
        </w:rPr>
      </w:pPr>
      <w:r>
        <w:rPr>
          <w:rFonts w:hint="eastAsia" w:ascii="宋体" w:hAnsi="宋体" w:cs="宋体"/>
          <w:color w:val="auto"/>
          <w:szCs w:val="21"/>
        </w:rPr>
        <w:t>★</w:t>
      </w:r>
      <w:r>
        <w:rPr>
          <w:rFonts w:hint="eastAsia" w:ascii="宋体" w:hAnsi="宋体" w:cs="宋体"/>
          <w:szCs w:val="21"/>
        </w:rPr>
        <w:t>2.电影券享有电影院、爱奇艺、优酷、酷我、网易云音乐、腾讯、酷狗、芒果TV、哔哩哔哩、读书会员（喜马拉雅、得到、帆书、手机知网、豆丁书房等）等会员通兑资格（须提供上述平台其中的6个平台以上（含），</w:t>
      </w:r>
      <w:r>
        <w:rPr>
          <w:rFonts w:hint="eastAsia" w:ascii="宋体" w:hAnsi="宋体" w:cs="宋体"/>
          <w:b/>
          <w:szCs w:val="21"/>
        </w:rPr>
        <w:t>需提供承诺函，否则按无效报价处理）。</w:t>
      </w:r>
    </w:p>
    <w:p>
      <w:pPr>
        <w:spacing w:line="520" w:lineRule="exact"/>
        <w:rPr>
          <w:rFonts w:ascii="宋体" w:hAnsi="宋体" w:cs="宋体"/>
          <w:szCs w:val="21"/>
        </w:rPr>
      </w:pPr>
      <w:r>
        <w:rPr>
          <w:rFonts w:hint="eastAsia" w:ascii="宋体" w:hAnsi="宋体" w:cs="宋体"/>
          <w:szCs w:val="21"/>
        </w:rPr>
        <w:t>（二）电影券必须满足以下使用要求：</w:t>
      </w:r>
    </w:p>
    <w:p>
      <w:pPr>
        <w:spacing w:line="520" w:lineRule="exact"/>
        <w:ind w:firstLine="210" w:firstLineChars="100"/>
        <w:rPr>
          <w:rFonts w:ascii="宋体" w:hAnsi="宋体" w:cs="宋体"/>
          <w:szCs w:val="21"/>
        </w:rPr>
      </w:pPr>
      <w:r>
        <w:rPr>
          <w:rFonts w:hint="eastAsia" w:ascii="宋体" w:hAnsi="宋体" w:cs="宋体"/>
          <w:szCs w:val="21"/>
        </w:rPr>
        <w:t>1.使用期限：有效期不少于两年。</w:t>
      </w:r>
    </w:p>
    <w:p>
      <w:pPr>
        <w:spacing w:line="520" w:lineRule="exact"/>
        <w:ind w:firstLine="210" w:firstLineChars="100"/>
        <w:rPr>
          <w:rFonts w:ascii="宋体" w:hAnsi="宋体" w:cs="宋体"/>
          <w:szCs w:val="21"/>
        </w:rPr>
      </w:pPr>
      <w:r>
        <w:rPr>
          <w:rFonts w:hint="eastAsia" w:ascii="宋体" w:hAnsi="宋体" w:cs="宋体"/>
          <w:szCs w:val="21"/>
        </w:rPr>
        <w:t>2.会员每人一张电影券。</w:t>
      </w:r>
    </w:p>
    <w:p>
      <w:pPr>
        <w:spacing w:line="520" w:lineRule="exact"/>
        <w:ind w:firstLine="210" w:firstLineChars="100"/>
        <w:rPr>
          <w:rFonts w:ascii="宋体" w:hAnsi="宋体" w:cs="宋体"/>
          <w:szCs w:val="21"/>
        </w:rPr>
      </w:pPr>
      <w:r>
        <w:rPr>
          <w:rFonts w:ascii="宋体" w:hAnsi="宋体" w:cs="宋体"/>
          <w:szCs w:val="21"/>
        </w:rPr>
        <w:t>3</w:t>
      </w:r>
      <w:r>
        <w:rPr>
          <w:rFonts w:hint="eastAsia" w:ascii="宋体" w:hAnsi="宋体" w:cs="宋体"/>
          <w:szCs w:val="21"/>
        </w:rPr>
        <w:t>.成交供应商必须拥有自有平台的APP或微信公众号（小程序），能够提供方便快捷的线上兑换、购票支付、选座等服务，需提供对应的操作指引。</w:t>
      </w:r>
    </w:p>
    <w:p>
      <w:pPr>
        <w:spacing w:line="520" w:lineRule="exact"/>
        <w:ind w:firstLine="210" w:firstLineChars="100"/>
        <w:rPr>
          <w:rFonts w:ascii="宋体" w:hAnsi="宋体" w:cs="宋体"/>
          <w:szCs w:val="21"/>
        </w:rPr>
      </w:pPr>
      <w:r>
        <w:rPr>
          <w:rFonts w:ascii="宋体" w:hAnsi="宋体" w:cs="宋体"/>
          <w:szCs w:val="21"/>
        </w:rPr>
        <w:t>4</w:t>
      </w:r>
      <w:r>
        <w:rPr>
          <w:rFonts w:hint="eastAsia" w:ascii="宋体" w:hAnsi="宋体" w:cs="宋体"/>
          <w:szCs w:val="21"/>
        </w:rPr>
        <w:t>. 报价要求供应商无论以何种计价单位如点、豆等显示余额的，均必须等价于人民币的“元”且必须满足全国各大电影院均可通用(即凭票观看电影时不受时间、场次、影片、影院、票价及2D/3D的限制)。电影券金额已包含制作的成本，兑换电影券的手续费，观影的服务手续费等费用，兑换的电影券服务项目不得区别与其他对外销售的电影券，不得对服务进行打折或者捆绑其他的消费或服务套餐。</w:t>
      </w:r>
    </w:p>
    <w:p>
      <w:pPr>
        <w:spacing w:line="520" w:lineRule="exact"/>
        <w:ind w:firstLine="210" w:firstLineChars="100"/>
        <w:rPr>
          <w:rFonts w:ascii="宋体" w:hAnsi="宋体" w:cs="宋体"/>
          <w:szCs w:val="21"/>
        </w:rPr>
      </w:pPr>
      <w:r>
        <w:rPr>
          <w:rFonts w:ascii="宋体" w:hAnsi="宋体" w:cs="宋体"/>
          <w:szCs w:val="21"/>
        </w:rPr>
        <w:t>5</w:t>
      </w:r>
      <w:r>
        <w:rPr>
          <w:rFonts w:hint="eastAsia" w:ascii="宋体" w:hAnsi="宋体" w:cs="宋体"/>
          <w:szCs w:val="21"/>
        </w:rPr>
        <w:t>.成交供应商不得对单次购票数、场次及购票金额等设置限制条件。电影券余额不足一场次的票价时，可由使用人充值补足金额后进行通兑，直至通兑票余额归零。</w:t>
      </w:r>
    </w:p>
    <w:p>
      <w:pPr>
        <w:widowControl w:val="0"/>
        <w:spacing w:line="360" w:lineRule="auto"/>
        <w:ind w:firstLine="210" w:firstLineChars="100"/>
        <w:rPr>
          <w:rFonts w:ascii="宋体" w:hAnsi="宋体" w:cs="宋体"/>
          <w:szCs w:val="21"/>
        </w:rPr>
      </w:pPr>
      <w:r>
        <w:rPr>
          <w:rFonts w:ascii="宋体" w:hAnsi="宋体" w:cs="宋体"/>
          <w:szCs w:val="21"/>
        </w:rPr>
        <w:t>6</w:t>
      </w:r>
      <w:r>
        <w:rPr>
          <w:rFonts w:hint="eastAsia" w:ascii="宋体" w:hAnsi="宋体" w:cs="宋体"/>
          <w:szCs w:val="21"/>
        </w:rPr>
        <w:t>.影院不限时段、节假日均可兑换（情人节、圣诞节、见面会、首映式、专场演出等特殊场次除外），不包括特效厅、vip 厅。</w:t>
      </w:r>
    </w:p>
    <w:p>
      <w:pPr>
        <w:widowControl w:val="0"/>
        <w:spacing w:line="360" w:lineRule="auto"/>
        <w:ind w:firstLine="210" w:firstLineChars="100"/>
        <w:rPr>
          <w:rFonts w:ascii="宋体" w:hAnsi="宋体" w:cs="宋体"/>
          <w:szCs w:val="21"/>
        </w:rPr>
      </w:pPr>
      <w:r>
        <w:rPr>
          <w:rFonts w:ascii="宋体" w:hAnsi="宋体" w:cs="宋体"/>
          <w:szCs w:val="21"/>
        </w:rPr>
        <w:t>7</w:t>
      </w:r>
      <w:r>
        <w:rPr>
          <w:rFonts w:hint="eastAsia" w:ascii="宋体" w:hAnsi="宋体" w:cs="宋体"/>
          <w:szCs w:val="21"/>
        </w:rPr>
        <w:t>.电影券可以享受影城同等价格及优惠，兑换标准为1:1兑换，不得加收任务服务费或其他费用。不限于普通厅、VIP厅的2D/3D等，支持IMAX、巨幕、激光特殊影厅兑换等，不能屏蔽场次，屏蔽座位，屏蔽影院。</w:t>
      </w:r>
    </w:p>
    <w:p>
      <w:pPr>
        <w:spacing w:line="360" w:lineRule="auto"/>
        <w:rPr>
          <w:rFonts w:hint="eastAsia" w:ascii="宋体" w:hAnsi="宋体" w:cs="宋体"/>
          <w:b/>
          <w:bCs/>
          <w:kern w:val="44"/>
          <w:szCs w:val="21"/>
        </w:rPr>
      </w:pPr>
      <w:r>
        <w:rPr>
          <w:rFonts w:hint="eastAsia" w:ascii="宋体" w:hAnsi="宋体" w:cs="宋体"/>
          <w:b/>
          <w:bCs/>
          <w:kern w:val="44"/>
          <w:szCs w:val="21"/>
        </w:rPr>
        <w:t>三、供货期限、交货方式及交货地点</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1.供货期限：签订合同后10日内一次性送货，最迟送货期限为2025年1月15日。</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2.交货方式：交货时双方确认数量并现场验收。</w:t>
      </w:r>
    </w:p>
    <w:p>
      <w:pPr>
        <w:spacing w:line="360" w:lineRule="auto"/>
        <w:ind w:firstLine="210" w:firstLineChars="100"/>
        <w:rPr>
          <w:rFonts w:hint="eastAsia" w:ascii="宋体" w:hAnsi="宋体" w:cs="宋体"/>
          <w:bCs/>
          <w:kern w:val="44"/>
          <w:szCs w:val="21"/>
        </w:rPr>
      </w:pPr>
      <w:r>
        <w:rPr>
          <w:rFonts w:hint="eastAsia" w:ascii="宋体" w:hAnsi="宋体" w:cs="宋体"/>
          <w:bCs/>
          <w:kern w:val="44"/>
          <w:szCs w:val="21"/>
        </w:rPr>
        <w:t>3.交货地点：采购人指定地点。</w:t>
      </w: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履约保证金：</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在签订合同前成交供应商需缴纳采购金额的5%作为履约保证金，以确保相关服务质量达到采购人要求。合同履行满两年后，如无扣款情形的，履约保证金无息退回。</w:t>
      </w:r>
      <w:r>
        <w:rPr>
          <w:rFonts w:hint="eastAsia"/>
          <w:b/>
        </w:rPr>
        <w:t>（注：电影券的使用不能满足上述“二、服务标准”，经查证属实的，扣除100%履约保证金。）</w:t>
      </w:r>
    </w:p>
    <w:p>
      <w:pPr>
        <w:spacing w:line="360" w:lineRule="auto"/>
        <w:rPr>
          <w:rFonts w:hint="eastAsia" w:ascii="宋体" w:hAnsi="宋体" w:cs="宋体"/>
          <w:b/>
          <w:kern w:val="44"/>
          <w:szCs w:val="21"/>
          <w:lang w:val="zh-CN"/>
        </w:rPr>
      </w:pPr>
      <w:r>
        <w:rPr>
          <w:rFonts w:hint="eastAsia" w:ascii="宋体" w:hAnsi="宋体" w:cs="宋体"/>
          <w:b/>
          <w:kern w:val="44"/>
          <w:szCs w:val="21"/>
          <w:lang w:val="zh-CN"/>
        </w:rPr>
        <w:t>五、付款方式</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1.采购商品按要求送到指定地点，以实际供应量结算，结算金额=实际供应量*人民币300元。</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2.采购人验收合格在收到成交供应商有效发票之日起15日内支付合同金额的100%。</w:t>
      </w:r>
    </w:p>
    <w:p>
      <w:pPr>
        <w:widowControl w:val="0"/>
        <w:adjustRightInd w:val="0"/>
        <w:snapToGrid w:val="0"/>
        <w:spacing w:line="360" w:lineRule="auto"/>
        <w:rPr>
          <w:rFonts w:ascii="宋体" w:hAnsi="宋体" w:cs="宋体"/>
          <w:b/>
          <w:bCs/>
          <w:kern w:val="44"/>
          <w:szCs w:val="21"/>
        </w:rPr>
      </w:pPr>
      <w:r>
        <w:rPr>
          <w:rFonts w:hint="eastAsia" w:ascii="宋体" w:hAnsi="宋体" w:cs="宋体"/>
          <w:b/>
          <w:bCs/>
          <w:kern w:val="44"/>
          <w:szCs w:val="21"/>
        </w:rPr>
        <w:t>六、验收标准</w:t>
      </w:r>
    </w:p>
    <w:p>
      <w:pPr>
        <w:widowControl w:val="0"/>
        <w:adjustRightInd w:val="0"/>
        <w:snapToGrid w:val="0"/>
        <w:spacing w:line="360" w:lineRule="auto"/>
        <w:ind w:firstLine="420" w:firstLineChars="200"/>
        <w:rPr>
          <w:rFonts w:ascii="宋体" w:hAnsi="宋体" w:cs="宋体"/>
        </w:rPr>
      </w:pPr>
      <w:r>
        <w:rPr>
          <w:rFonts w:hint="eastAsia" w:ascii="宋体" w:hAnsi="宋体" w:cs="宋体"/>
        </w:rPr>
        <w:t>对照合同进行验收。</w:t>
      </w:r>
    </w:p>
    <w:p>
      <w:pPr>
        <w:widowControl w:val="0"/>
        <w:adjustRightInd w:val="0"/>
        <w:snapToGrid w:val="0"/>
        <w:spacing w:line="360" w:lineRule="auto"/>
        <w:rPr>
          <w:rFonts w:hint="eastAsia" w:ascii="宋体" w:hAnsi="宋体" w:cs="宋体"/>
          <w:b/>
          <w:bCs/>
          <w:color w:val="auto"/>
          <w:kern w:val="44"/>
          <w:szCs w:val="21"/>
        </w:rPr>
      </w:pPr>
      <w:r>
        <w:rPr>
          <w:rFonts w:hint="eastAsia" w:ascii="宋体" w:hAnsi="宋体" w:cs="宋体"/>
          <w:b/>
          <w:bCs/>
          <w:color w:val="auto"/>
          <w:kern w:val="44"/>
          <w:szCs w:val="21"/>
        </w:rPr>
        <w:t>七、报价要求</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1.会员电影券按每人不低于300元额度标准，电影通兑券面值最大者推荐为成交供应商，否则将按无效报价处理。</w:t>
      </w:r>
    </w:p>
    <w:p>
      <w:pPr>
        <w:pStyle w:val="2"/>
        <w:adjustRightInd w:val="0"/>
        <w:snapToGrid w:val="0"/>
        <w:spacing w:line="360" w:lineRule="auto"/>
        <w:ind w:left="0" w:leftChars="0" w:firstLine="210" w:firstLineChars="100"/>
        <w:rPr>
          <w:rFonts w:hint="eastAsia" w:ascii="宋体" w:hAnsi="宋体" w:cs="宋体"/>
          <w:szCs w:val="21"/>
        </w:rPr>
      </w:pPr>
      <w:r>
        <w:rPr>
          <w:rFonts w:hint="eastAsia" w:ascii="宋体" w:hAnsi="宋体" w:cs="宋体"/>
          <w:szCs w:val="21"/>
        </w:rPr>
        <w:t>2.会员电影券所报面额在实际使用时不得有前提条件或限制条件，否则将按无效报价处理。</w:t>
      </w:r>
    </w:p>
    <w:p>
      <w:pPr>
        <w:pStyle w:val="2"/>
        <w:rPr>
          <w:rFonts w:hint="eastAsia"/>
        </w:rPr>
      </w:pPr>
    </w:p>
    <w:p>
      <w:pPr>
        <w:spacing w:line="360" w:lineRule="auto"/>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jc w:val="both"/>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三、竞价保证金</w:t>
      </w:r>
    </w:p>
    <w:p>
      <w:pPr>
        <w:tabs>
          <w:tab w:val="left" w:pos="720"/>
        </w:tabs>
        <w:adjustRightInd w:val="0"/>
        <w:snapToGrid w:val="0"/>
        <w:spacing w:line="480" w:lineRule="exact"/>
        <w:ind w:left="718" w:right="31" w:rightChars="15" w:hanging="718" w:hangingChars="342"/>
        <w:rPr>
          <w:rFonts w:hint="eastAsia" w:ascii="宋体" w:hAnsi="宋体" w:cs="宋体"/>
          <w:bCs/>
          <w:u w:val="single"/>
        </w:rPr>
      </w:pPr>
      <w:r>
        <w:rPr>
          <w:rFonts w:hint="eastAsia" w:ascii="宋体" w:hAnsi="宋体" w:cs="宋体"/>
          <w:szCs w:val="21"/>
        </w:rPr>
        <w:t>3．1   竞价供应商必须提交金额为</w:t>
      </w:r>
      <w:r>
        <w:rPr>
          <w:rFonts w:hint="eastAsia" w:ascii="宋体" w:hAnsi="宋体" w:cs="宋体"/>
          <w:b/>
          <w:szCs w:val="21"/>
          <w:u w:val="single"/>
        </w:rPr>
        <w:t>人民币伍仟柒佰肆拾贰元整（￥</w:t>
      </w:r>
      <w:r>
        <w:rPr>
          <w:rFonts w:ascii="宋体" w:hAnsi="宋体" w:cs="宋体"/>
          <w:b/>
          <w:szCs w:val="21"/>
          <w:u w:val="single"/>
        </w:rPr>
        <w:t>5</w:t>
      </w:r>
      <w:r>
        <w:rPr>
          <w:rFonts w:hint="eastAsia" w:ascii="宋体" w:hAnsi="宋体" w:cs="宋体"/>
          <w:b/>
          <w:szCs w:val="21"/>
          <w:u w:val="single"/>
        </w:rPr>
        <w:t>,</w:t>
      </w:r>
      <w:r>
        <w:rPr>
          <w:rFonts w:ascii="宋体" w:hAnsi="宋体" w:cs="宋体"/>
          <w:b/>
          <w:szCs w:val="21"/>
          <w:u w:val="single"/>
        </w:rPr>
        <w:t>742</w:t>
      </w:r>
      <w:r>
        <w:rPr>
          <w:rFonts w:hint="eastAsia" w:ascii="宋体" w:hAnsi="宋体" w:cs="宋体"/>
          <w:b/>
          <w:szCs w:val="21"/>
          <w:u w:val="single"/>
        </w:rPr>
        <w:t>.00元）</w:t>
      </w:r>
      <w:r>
        <w:rPr>
          <w:rFonts w:hint="eastAsia" w:ascii="宋体" w:hAnsi="宋体" w:cs="宋体"/>
          <w:szCs w:val="21"/>
        </w:rPr>
        <w:t>的竞价保证金，竞价保证金是竞价文件的组成部分。</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3.2</w:t>
      </w:r>
      <w:r>
        <w:rPr>
          <w:rFonts w:hint="eastAsia" w:ascii="宋体" w:hAnsi="宋体" w:cs="宋体"/>
          <w:szCs w:val="21"/>
        </w:rPr>
        <w:tab/>
      </w:r>
      <w:r>
        <w:rPr>
          <w:rFonts w:hint="eastAsia" w:ascii="宋体" w:hAnsi="宋体" w:cs="宋体"/>
          <w:szCs w:val="21"/>
        </w:rPr>
        <w:t>竞价保证金是为了保护采购代理机构和采购人免遭因竞价供应商的行为所造成的损失，采购代理机构和采购人在因竞价供应商的行为而受到损害时，可以根据本须知的规定没收竞价供应商的竞价保证金。</w:t>
      </w:r>
    </w:p>
    <w:p>
      <w:pPr>
        <w:tabs>
          <w:tab w:val="left" w:pos="720"/>
        </w:tabs>
        <w:snapToGrid w:val="0"/>
        <w:spacing w:line="480" w:lineRule="exact"/>
        <w:rPr>
          <w:rFonts w:hint="eastAsia" w:ascii="宋体" w:hAnsi="宋体" w:cs="宋体"/>
          <w:szCs w:val="21"/>
        </w:rPr>
      </w:pPr>
      <w:r>
        <w:rPr>
          <w:rFonts w:hint="eastAsia" w:ascii="宋体" w:hAnsi="宋体" w:cs="宋体"/>
          <w:szCs w:val="21"/>
        </w:rPr>
        <w:t>3.3</w:t>
      </w:r>
      <w:r>
        <w:rPr>
          <w:rFonts w:hint="eastAsia" w:ascii="宋体" w:hAnsi="宋体" w:cs="宋体"/>
          <w:szCs w:val="21"/>
        </w:rPr>
        <w:tab/>
      </w:r>
      <w:r>
        <w:rPr>
          <w:rFonts w:hint="eastAsia" w:ascii="宋体" w:hAnsi="宋体" w:cs="宋体"/>
          <w:szCs w:val="21"/>
        </w:rPr>
        <w:t>竞价保证金可以采用电汇、银行转账的非现金形式提交：</w:t>
      </w:r>
    </w:p>
    <w:p>
      <w:pPr>
        <w:spacing w:line="480" w:lineRule="exact"/>
        <w:ind w:left="735" w:leftChars="350"/>
        <w:rPr>
          <w:rFonts w:hint="eastAsia" w:ascii="宋体" w:hAnsi="宋体" w:cs="宋体"/>
          <w:b/>
          <w:szCs w:val="21"/>
        </w:rPr>
      </w:pPr>
      <w:r>
        <w:rPr>
          <w:rFonts w:hint="eastAsia" w:ascii="宋体" w:hAnsi="宋体" w:cs="宋体"/>
          <w:b/>
          <w:szCs w:val="21"/>
        </w:rPr>
        <w:t>以电汇、银行转账形式交纳竞价保证金的，直接转入如下账户（交款时竞价供应商向银行提供项目编号，由银行开具收款单盖章交给客户留底，作为保证金收取依据。并在竞价文件递交截止时间之前到达采购代理机构账户上。）</w:t>
      </w:r>
    </w:p>
    <w:p>
      <w:pPr>
        <w:spacing w:line="480" w:lineRule="exact"/>
        <w:ind w:firstLine="738" w:firstLineChars="350"/>
        <w:rPr>
          <w:rFonts w:hint="eastAsia" w:ascii="宋体" w:hAnsi="宋体" w:cs="宋体"/>
          <w:b/>
          <w:szCs w:val="21"/>
        </w:rPr>
      </w:pPr>
      <w:r>
        <w:rPr>
          <w:rFonts w:hint="eastAsia" w:ascii="宋体" w:hAnsi="宋体" w:cs="宋体"/>
          <w:b/>
          <w:szCs w:val="21"/>
        </w:rPr>
        <w:t>收款人：广州顺为招标采购有限公司</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账号：7443200182800008344</w:t>
      </w:r>
    </w:p>
    <w:p>
      <w:pPr>
        <w:spacing w:line="480" w:lineRule="exact"/>
        <w:ind w:left="895" w:leftChars="355" w:hanging="150" w:hangingChars="71"/>
        <w:rPr>
          <w:rFonts w:hint="eastAsia" w:ascii="宋体" w:hAnsi="宋体" w:cs="宋体"/>
          <w:b/>
          <w:szCs w:val="21"/>
        </w:rPr>
      </w:pPr>
      <w:r>
        <w:rPr>
          <w:rFonts w:hint="eastAsia" w:ascii="宋体" w:hAnsi="宋体" w:cs="宋体"/>
          <w:b/>
          <w:szCs w:val="21"/>
        </w:rPr>
        <w:t>开户银行：中信银行广州天河支行</w:t>
      </w:r>
    </w:p>
    <w:p>
      <w:pPr>
        <w:spacing w:line="480" w:lineRule="exact"/>
        <w:ind w:firstLine="738" w:firstLineChars="350"/>
        <w:rPr>
          <w:rFonts w:hint="eastAsia" w:ascii="宋体" w:hAnsi="宋体" w:cs="宋体"/>
          <w:b/>
          <w:szCs w:val="21"/>
          <w:u w:val="single"/>
        </w:rPr>
      </w:pPr>
      <w:r>
        <w:rPr>
          <w:rFonts w:hint="eastAsia" w:ascii="宋体" w:hAnsi="宋体" w:cs="宋体"/>
          <w:b/>
          <w:szCs w:val="21"/>
          <w:u w:val="single"/>
        </w:rPr>
        <w:t>[递交保证金请注明：项目编号</w:t>
      </w:r>
      <w:r>
        <w:rPr>
          <w:rFonts w:ascii="宋体" w:hAnsi="宋体" w:cs="宋体"/>
          <w:b/>
          <w:szCs w:val="21"/>
          <w:u w:val="single"/>
        </w:rPr>
        <w:t>GZSW24201FJ4183</w:t>
      </w:r>
      <w:r>
        <w:rPr>
          <w:rFonts w:hint="eastAsia" w:ascii="宋体" w:hAnsi="宋体" w:cs="宋体"/>
          <w:b/>
          <w:szCs w:val="21"/>
          <w:u w:val="single"/>
        </w:rPr>
        <w:t>]</w:t>
      </w:r>
    </w:p>
    <w:p>
      <w:pPr>
        <w:tabs>
          <w:tab w:val="left" w:pos="720"/>
        </w:tabs>
        <w:adjustRightInd w:val="0"/>
        <w:snapToGrid w:val="0"/>
        <w:spacing w:line="480" w:lineRule="exact"/>
        <w:ind w:left="718" w:right="31" w:rightChars="15" w:hanging="718" w:hangingChars="342"/>
        <w:rPr>
          <w:rFonts w:hint="eastAsia" w:ascii="宋体" w:hAnsi="宋体" w:cs="宋体"/>
          <w:szCs w:val="21"/>
        </w:rPr>
      </w:pPr>
      <w:r>
        <w:rPr>
          <w:rFonts w:hint="eastAsia" w:ascii="宋体" w:hAnsi="宋体" w:cs="宋体"/>
          <w:szCs w:val="21"/>
        </w:rPr>
        <w:t>3.4</w:t>
      </w:r>
      <w:r>
        <w:rPr>
          <w:rFonts w:hint="eastAsia" w:ascii="宋体" w:hAnsi="宋体" w:cs="宋体"/>
          <w:szCs w:val="21"/>
        </w:rPr>
        <w:tab/>
      </w:r>
      <w:r>
        <w:rPr>
          <w:rFonts w:hint="eastAsia" w:ascii="宋体" w:hAnsi="宋体" w:cs="宋体"/>
          <w:snapToGrid w:val="0"/>
          <w:szCs w:val="21"/>
        </w:rPr>
        <w:t>采购代理机构在采购活动结束后及时退还供应商的竞价保证金，以电汇、银行转账形式交纳竞价保证金的，竞价保证金一律退还至竞价供应商对公账户。未成交供应商的竞价保证金在成交通知书发出后5个工作日内退还，成交供应商的竞价保证金在采购合同签订后5个工作日内退还。因供应商自身原因导致竞价保证金无法及时退还的除外。</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3.5</w:t>
      </w:r>
      <w:r>
        <w:rPr>
          <w:rFonts w:hint="eastAsia" w:ascii="宋体" w:hAnsi="宋体" w:cs="宋体"/>
          <w:szCs w:val="21"/>
        </w:rPr>
        <w:tab/>
      </w:r>
      <w:r>
        <w:rPr>
          <w:rFonts w:hint="eastAsia" w:ascii="宋体" w:hAnsi="宋体" w:cs="宋体"/>
          <w:szCs w:val="21"/>
        </w:rPr>
        <w:t>成交供应商的保证金的退还必须同时满足以下要求：</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成交供应商按本须知的规定签订了成交合同；</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成交供应商按本须知的规定支付了成交服务费。</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3.6</w:t>
      </w:r>
      <w:r>
        <w:rPr>
          <w:rFonts w:hint="eastAsia" w:ascii="宋体" w:hAnsi="宋体" w:cs="宋体"/>
          <w:szCs w:val="21"/>
        </w:rPr>
        <w:tab/>
      </w:r>
      <w:r>
        <w:rPr>
          <w:rFonts w:hint="eastAsia" w:ascii="宋体" w:hAnsi="宋体" w:cs="宋体"/>
          <w:szCs w:val="21"/>
        </w:rPr>
        <w:t>下列任何一种情况发生时，保证金将被没收：</w:t>
      </w:r>
    </w:p>
    <w:p>
      <w:pPr>
        <w:tabs>
          <w:tab w:val="left" w:pos="720"/>
        </w:tabs>
        <w:adjustRightInd w:val="0"/>
        <w:snapToGrid w:val="0"/>
        <w:spacing w:line="480" w:lineRule="exact"/>
        <w:ind w:left="840" w:right="31" w:rightChars="15" w:hanging="840" w:hangingChars="400"/>
        <w:rPr>
          <w:rFonts w:hint="eastAsia" w:ascii="宋体" w:hAnsi="宋体" w:cs="宋体"/>
          <w:b/>
          <w:szCs w:val="21"/>
        </w:rPr>
      </w:pPr>
      <w:r>
        <w:rPr>
          <w:rFonts w:hint="eastAsia" w:ascii="宋体" w:hAnsi="宋体" w:cs="宋体"/>
          <w:szCs w:val="21"/>
        </w:rPr>
        <w:t>（1）</w:t>
      </w:r>
      <w:r>
        <w:rPr>
          <w:rFonts w:hint="eastAsia" w:ascii="宋体" w:hAnsi="宋体" w:cs="宋体"/>
          <w:szCs w:val="21"/>
        </w:rPr>
        <w:tab/>
      </w:r>
      <w:r>
        <w:rPr>
          <w:rFonts w:hint="eastAsia" w:ascii="宋体" w:hAnsi="宋体" w:cs="宋体"/>
          <w:snapToGrid w:val="0"/>
          <w:szCs w:val="21"/>
        </w:rPr>
        <w:t>供应商在竞价文件中提供虚假材料的；</w:t>
      </w:r>
    </w:p>
    <w:p>
      <w:pPr>
        <w:tabs>
          <w:tab w:val="left" w:pos="720"/>
        </w:tabs>
        <w:adjustRightInd w:val="0"/>
        <w:snapToGrid w:val="0"/>
        <w:spacing w:line="480" w:lineRule="exact"/>
        <w:ind w:left="840" w:right="31" w:rightChars="15" w:hanging="840" w:hangingChars="400"/>
        <w:rPr>
          <w:rFonts w:hint="eastAsia" w:ascii="宋体" w:hAnsi="宋体" w:cs="宋体"/>
          <w:snapToGrid w:val="0"/>
          <w:szCs w:val="21"/>
        </w:rPr>
      </w:pPr>
      <w:r>
        <w:rPr>
          <w:rFonts w:hint="eastAsia" w:ascii="宋体" w:hAnsi="宋体" w:cs="宋体"/>
          <w:szCs w:val="21"/>
        </w:rPr>
        <w:t>（2）</w:t>
      </w:r>
      <w:r>
        <w:rPr>
          <w:rFonts w:hint="eastAsia" w:ascii="宋体" w:hAnsi="宋体" w:cs="宋体"/>
          <w:snapToGrid w:val="0"/>
          <w:szCs w:val="21"/>
        </w:rPr>
        <w:t xml:space="preserve">  除因不可抗力或竞价文件认可的情形以外，成交供应商不与采购人签订合同的；</w:t>
      </w:r>
    </w:p>
    <w:p>
      <w:pPr>
        <w:tabs>
          <w:tab w:val="left" w:pos="720"/>
        </w:tabs>
        <w:adjustRightInd w:val="0"/>
        <w:snapToGrid w:val="0"/>
        <w:spacing w:line="480" w:lineRule="exact"/>
        <w:ind w:left="840" w:right="31" w:rightChars="15" w:hanging="840" w:hangingChars="400"/>
        <w:rPr>
          <w:rFonts w:hint="eastAsia" w:ascii="宋体" w:hAnsi="宋体" w:cs="宋体"/>
          <w:szCs w:val="21"/>
        </w:rPr>
      </w:pPr>
      <w:r>
        <w:rPr>
          <w:rFonts w:hint="eastAsia" w:ascii="宋体" w:hAnsi="宋体" w:cs="宋体"/>
          <w:szCs w:val="21"/>
        </w:rPr>
        <w:t>（3）  经查实供应商之间恶意串通的。</w:t>
      </w:r>
    </w:p>
    <w:p>
      <w:pPr>
        <w:pStyle w:val="4"/>
        <w:spacing w:line="360" w:lineRule="auto"/>
        <w:rPr>
          <w:rFonts w:hint="eastAsia" w:cs="宋体"/>
          <w:b/>
          <w:kern w:val="0"/>
          <w:sz w:val="24"/>
        </w:rPr>
      </w:pPr>
      <w:r>
        <w:rPr>
          <w:rFonts w:hint="eastAsia" w:cs="宋体"/>
          <w:b/>
          <w:kern w:val="2"/>
        </w:rPr>
        <w:t>四、竞价要求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widowControl w:val="0"/>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widowControl w:val="0"/>
        <w:spacing w:line="360" w:lineRule="auto"/>
        <w:ind w:firstLine="420" w:firstLineChars="200"/>
        <w:rPr>
          <w:rFonts w:hint="eastAsia" w:ascii="宋体" w:hAnsi="宋体" w:cs="宋体"/>
          <w:szCs w:val="21"/>
        </w:rPr>
      </w:pPr>
      <w:r>
        <w:rPr>
          <w:rFonts w:hint="eastAsia" w:ascii="宋体" w:hAnsi="宋体" w:cs="宋体"/>
          <w:szCs w:val="21"/>
        </w:rPr>
        <w:t>3、凡参与采购人项目竞价过程中有围标串标等违规情况的供应商不得再参与采购人重新启动的项目竞价，因围标串标行为导致废标的供应商将被列入采购人黑名单，1年内不得参与采购人的项目竞价。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4、如无正当理由放弃成交资格的供应商连同该供应商同一法定代表人名下所有公司将被列入采购人黑名单，3年内不得参与采购人的项目竞价。</w:t>
      </w:r>
    </w:p>
    <w:p>
      <w:pPr>
        <w:spacing w:line="360" w:lineRule="auto"/>
        <w:ind w:firstLine="420" w:firstLineChars="200"/>
        <w:rPr>
          <w:rFonts w:hint="eastAsia" w:ascii="宋体" w:hAnsi="宋体" w:cs="宋体"/>
        </w:rPr>
      </w:pPr>
      <w:r>
        <w:rPr>
          <w:rFonts w:hint="eastAsia" w:ascii="宋体" w:hAnsi="宋体" w:cs="宋体"/>
        </w:rPr>
        <w:t>5、如果竞价过程中，存在以下情形，供应商的报价将被认定为无效报价：</w:t>
      </w:r>
    </w:p>
    <w:p>
      <w:pPr>
        <w:spacing w:line="360" w:lineRule="auto"/>
        <w:ind w:firstLine="420" w:firstLineChars="200"/>
        <w:rPr>
          <w:rFonts w:hint="eastAsia" w:ascii="宋体" w:hAnsi="宋体" w:cs="宋体"/>
        </w:rPr>
      </w:pPr>
      <w:r>
        <w:rPr>
          <w:rFonts w:hint="eastAsia" w:ascii="宋体" w:hAnsi="宋体" w:cs="宋体"/>
        </w:rPr>
        <w:t>1)参与竞价的供应商报价低于电影券面值</w:t>
      </w:r>
      <w:r>
        <w:rPr>
          <w:rFonts w:ascii="宋体" w:hAnsi="宋体" w:cs="宋体"/>
        </w:rPr>
        <w:t>300</w:t>
      </w:r>
      <w:r>
        <w:rPr>
          <w:rFonts w:hint="eastAsia" w:ascii="宋体" w:hAnsi="宋体" w:cs="宋体"/>
        </w:rPr>
        <w:t>元标准的视为无效报价。</w:t>
      </w:r>
    </w:p>
    <w:p>
      <w:pPr>
        <w:spacing w:line="360" w:lineRule="auto"/>
        <w:ind w:firstLine="420" w:firstLineChars="200"/>
        <w:rPr>
          <w:rFonts w:hint="eastAsia" w:ascii="宋体" w:hAnsi="宋体" w:cs="宋体"/>
        </w:rPr>
      </w:pPr>
      <w:r>
        <w:rPr>
          <w:rFonts w:hint="eastAsia" w:ascii="宋体" w:hAnsi="宋体" w:cs="宋体"/>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rPr>
      </w:pPr>
      <w:r>
        <w:rPr>
          <w:rFonts w:hint="eastAsia" w:ascii="宋体" w:hAnsi="宋体" w:cs="宋体"/>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rPr>
      </w:pPr>
      <w:r>
        <w:rPr>
          <w:rFonts w:hint="eastAsia" w:ascii="宋体" w:hAnsi="宋体" w:cs="宋体"/>
        </w:rPr>
        <w:t>4)报价表以及有竞价供应商落款的报价文件必须加盖竞价供应商公章，否则视为无效报价。</w:t>
      </w:r>
    </w:p>
    <w:p>
      <w:pPr>
        <w:spacing w:line="360" w:lineRule="auto"/>
        <w:ind w:firstLine="420" w:firstLineChars="200"/>
        <w:rPr>
          <w:rFonts w:hint="eastAsia" w:ascii="宋体" w:hAnsi="宋体" w:cs="宋体"/>
        </w:rPr>
      </w:pPr>
      <w:r>
        <w:rPr>
          <w:rFonts w:hint="eastAsia" w:ascii="宋体" w:hAnsi="宋体" w:cs="宋体"/>
        </w:rPr>
        <w:t>5)有下列情形之一的，视为串通竞价，其报价无效：</w:t>
      </w:r>
    </w:p>
    <w:p>
      <w:pPr>
        <w:spacing w:line="360" w:lineRule="auto"/>
        <w:ind w:firstLine="420" w:firstLineChars="200"/>
        <w:rPr>
          <w:rFonts w:hint="eastAsia" w:ascii="宋体" w:hAnsi="宋体" w:cs="宋体"/>
        </w:rPr>
      </w:pPr>
      <w:r>
        <w:rPr>
          <w:rFonts w:hint="eastAsia" w:ascii="宋体" w:hAnsi="宋体" w:cs="宋体"/>
        </w:rPr>
        <w:t>a)存在单位负责人为同一人或存在控股、管理关系的不同单位参与同一竞价项目；</w:t>
      </w:r>
    </w:p>
    <w:p>
      <w:pPr>
        <w:spacing w:line="360" w:lineRule="auto"/>
        <w:ind w:firstLine="420" w:firstLineChars="200"/>
        <w:rPr>
          <w:rFonts w:hint="eastAsia" w:ascii="宋体" w:hAnsi="宋体" w:cs="宋体"/>
        </w:rPr>
      </w:pPr>
      <w:r>
        <w:rPr>
          <w:rFonts w:hint="eastAsia" w:ascii="宋体" w:hAnsi="宋体" w:cs="宋体"/>
        </w:rPr>
        <w:t>b)不同供应商的报价文件由同一单位或者个人编制；</w:t>
      </w:r>
    </w:p>
    <w:p>
      <w:pPr>
        <w:spacing w:line="360" w:lineRule="auto"/>
        <w:ind w:firstLine="420" w:firstLineChars="200"/>
        <w:rPr>
          <w:rFonts w:hint="eastAsia" w:ascii="宋体" w:hAnsi="宋体" w:cs="宋体"/>
        </w:rPr>
      </w:pPr>
      <w:r>
        <w:rPr>
          <w:rFonts w:hint="eastAsia" w:ascii="宋体" w:hAnsi="宋体" w:cs="宋体"/>
        </w:rPr>
        <w:t>c)不同供应商委托同一单位或者个人办理竞价事宜；</w:t>
      </w:r>
    </w:p>
    <w:p>
      <w:pPr>
        <w:spacing w:line="360" w:lineRule="auto"/>
        <w:ind w:firstLine="420" w:firstLineChars="200"/>
        <w:rPr>
          <w:rFonts w:hint="eastAsia" w:ascii="宋体" w:hAnsi="宋体" w:cs="宋体"/>
        </w:rPr>
      </w:pPr>
      <w:r>
        <w:rPr>
          <w:rFonts w:hint="eastAsia" w:ascii="宋体" w:hAnsi="宋体" w:cs="宋体"/>
        </w:rPr>
        <w:t>d)不同供应商的报价文件载明的项目管理成员或者联系人员为同一人；</w:t>
      </w:r>
    </w:p>
    <w:p>
      <w:pPr>
        <w:spacing w:line="360" w:lineRule="auto"/>
        <w:ind w:firstLine="420" w:firstLineChars="200"/>
        <w:rPr>
          <w:rFonts w:hint="eastAsia" w:ascii="宋体" w:hAnsi="宋体" w:cs="宋体"/>
        </w:rPr>
      </w:pPr>
      <w:r>
        <w:rPr>
          <w:rFonts w:hint="eastAsia" w:ascii="宋体" w:hAnsi="宋体" w:cs="宋体"/>
        </w:rPr>
        <w:t>e)不同供应商的报价文件异常一致或者报价呈规律性差异；</w:t>
      </w:r>
    </w:p>
    <w:p>
      <w:pPr>
        <w:spacing w:line="360" w:lineRule="auto"/>
        <w:ind w:firstLine="420" w:firstLineChars="200"/>
        <w:rPr>
          <w:rFonts w:hint="eastAsia" w:ascii="宋体" w:hAnsi="宋体" w:cs="宋体"/>
        </w:rPr>
      </w:pPr>
      <w:r>
        <w:rPr>
          <w:rFonts w:hint="eastAsia" w:ascii="宋体" w:hAnsi="宋体" w:cs="宋体"/>
        </w:rPr>
        <w:t>f)不同供应商的报价文件相互混淆；</w:t>
      </w:r>
    </w:p>
    <w:p>
      <w:pPr>
        <w:spacing w:line="360" w:lineRule="auto"/>
        <w:ind w:firstLine="420" w:firstLineChars="200"/>
        <w:rPr>
          <w:rFonts w:hint="eastAsia" w:ascii="宋体" w:hAnsi="宋体" w:cs="宋体"/>
        </w:rPr>
      </w:pPr>
      <w:r>
        <w:rPr>
          <w:rFonts w:hint="eastAsia" w:ascii="宋体" w:hAnsi="宋体" w:cs="宋体"/>
        </w:rPr>
        <w:t>6、项目存在以下情形，将按竞价活动失败处理：</w:t>
      </w:r>
    </w:p>
    <w:p>
      <w:pPr>
        <w:spacing w:line="360" w:lineRule="auto"/>
        <w:ind w:firstLine="420" w:firstLineChars="200"/>
        <w:rPr>
          <w:rFonts w:hint="eastAsia" w:ascii="宋体" w:hAnsi="宋体" w:cs="宋体"/>
        </w:rPr>
      </w:pPr>
      <w:r>
        <w:rPr>
          <w:rFonts w:hint="eastAsia" w:ascii="宋体" w:hAnsi="宋体" w:cs="宋体"/>
        </w:rPr>
        <w:t>1)报名供应商或有效竞价供应商不足三家；</w:t>
      </w:r>
    </w:p>
    <w:p>
      <w:pPr>
        <w:spacing w:line="360" w:lineRule="auto"/>
        <w:ind w:firstLine="420" w:firstLineChars="200"/>
        <w:rPr>
          <w:rFonts w:hint="eastAsia" w:ascii="宋体" w:hAnsi="宋体" w:cs="宋体"/>
        </w:rPr>
      </w:pPr>
      <w:r>
        <w:rPr>
          <w:rFonts w:hint="eastAsia" w:ascii="宋体" w:hAnsi="宋体" w:cs="宋体"/>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rPr>
        <w:t>3)因重大变故，采购任务取消的。</w:t>
      </w:r>
    </w:p>
    <w:p>
      <w:pPr>
        <w:pStyle w:val="4"/>
        <w:spacing w:line="360" w:lineRule="auto"/>
        <w:rPr>
          <w:rFonts w:hint="eastAsia" w:cs="宋体"/>
          <w:b/>
          <w:kern w:val="2"/>
        </w:rPr>
      </w:pPr>
      <w:r>
        <w:rPr>
          <w:rFonts w:hint="eastAsia" w:cs="宋体"/>
          <w:b/>
          <w:kern w:val="2"/>
        </w:rPr>
        <w:t>四、确定成交供应商办法</w:t>
      </w:r>
    </w:p>
    <w:p>
      <w:pPr>
        <w:widowControl w:val="0"/>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电影券面值最高价中标法，即按满足采购需求且券面值由高到低的顺序推荐3名成交候选人。若电影券面值相同时，按竞价供应商提交报价的先后顺序推荐供应商。并广州顺为招标采购有限公司网（www.gzswbc.com）发布成交公告，各竞价供应商可自行查阅。</w:t>
      </w:r>
    </w:p>
    <w:p>
      <w:pPr>
        <w:widowControl w:val="0"/>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pStyle w:val="2"/>
        <w:ind w:left="0" w:leftChars="0" w:firstLine="0" w:firstLineChars="0"/>
        <w:rPr>
          <w:rFonts w:hint="eastAsia"/>
        </w:rPr>
      </w:pPr>
    </w:p>
    <w:p>
      <w:pPr>
        <w:widowControl w:val="0"/>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hint="eastAsia" w:ascii="宋体" w:hAnsi="宋体" w:cs="宋体"/>
        </w:rPr>
      </w:pPr>
    </w:p>
    <w:p>
      <w:pPr>
        <w:spacing w:line="360" w:lineRule="auto"/>
        <w:rPr>
          <w:rFonts w:hint="eastAsia" w:ascii="宋体" w:hAnsi="宋体" w:cs="宋体"/>
          <w:bCs/>
          <w:szCs w:val="21"/>
        </w:rPr>
      </w:pPr>
    </w:p>
    <w:p>
      <w:pPr>
        <w:spacing w:line="360" w:lineRule="auto"/>
        <w:rPr>
          <w:rFonts w:hint="eastAsia"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广东省河源监狱工会</w:t>
      </w:r>
    </w:p>
    <w:p>
      <w:pPr>
        <w:tabs>
          <w:tab w:val="left" w:pos="720"/>
        </w:tabs>
        <w:spacing w:line="360" w:lineRule="auto"/>
        <w:jc w:val="center"/>
        <w:rPr>
          <w:rFonts w:hint="eastAsia" w:ascii="宋体" w:hAnsi="宋体" w:cs="宋体"/>
          <w:b/>
          <w:bCs/>
          <w:sz w:val="44"/>
          <w:szCs w:val="44"/>
        </w:rPr>
      </w:pPr>
      <w:r>
        <w:rPr>
          <w:rFonts w:hint="eastAsia" w:ascii="宋体" w:hAnsi="宋体" w:cs="宋体"/>
          <w:b/>
          <w:bCs/>
          <w:sz w:val="44"/>
          <w:szCs w:val="44"/>
        </w:rPr>
        <w:t>202</w:t>
      </w:r>
      <w:r>
        <w:rPr>
          <w:rFonts w:ascii="宋体" w:hAnsi="宋体" w:cs="宋体"/>
          <w:b/>
          <w:bCs/>
          <w:sz w:val="44"/>
          <w:szCs w:val="44"/>
        </w:rPr>
        <w:t>5</w:t>
      </w:r>
      <w:r>
        <w:rPr>
          <w:rFonts w:hint="eastAsia" w:ascii="宋体" w:hAnsi="宋体" w:cs="宋体"/>
          <w:b/>
          <w:bCs/>
          <w:sz w:val="44"/>
          <w:szCs w:val="44"/>
        </w:rPr>
        <w:t>年会员电影券采购项目</w:t>
      </w:r>
    </w:p>
    <w:p>
      <w:pPr>
        <w:tabs>
          <w:tab w:val="left" w:pos="720"/>
        </w:tabs>
        <w:spacing w:line="360" w:lineRule="auto"/>
        <w:jc w:val="center"/>
        <w:rPr>
          <w:rFonts w:hint="eastAsia" w:ascii="宋体" w:hAnsi="宋体" w:cs="宋体"/>
          <w:b/>
          <w:bCs/>
          <w:sz w:val="44"/>
          <w:szCs w:val="44"/>
        </w:rPr>
      </w:pPr>
    </w:p>
    <w:p>
      <w:pPr>
        <w:pStyle w:val="1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cs="宋体"/>
          <w:b/>
          <w:sz w:val="24"/>
          <w:szCs w:val="24"/>
          <w:u w:val="single"/>
        </w:rPr>
      </w:pPr>
      <w:r>
        <w:rPr>
          <w:rFonts w:hint="eastAsia" w:ascii="宋体" w:hAnsi="宋体" w:cs="宋体"/>
          <w:b/>
          <w:sz w:val="24"/>
          <w:szCs w:val="24"/>
        </w:rPr>
        <w:t>项目名称：</w:t>
      </w:r>
      <w:r>
        <w:rPr>
          <w:rFonts w:hint="eastAsia" w:ascii="宋体" w:hAnsi="宋体" w:cs="宋体"/>
          <w:b/>
          <w:sz w:val="24"/>
          <w:szCs w:val="24"/>
          <w:u w:val="single"/>
        </w:rPr>
        <w:t>广东省河源监狱工会2025年会员电影券采购项目</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广东省河源监狱工会委员会 （采购人名称）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cs="宋体"/>
          <w:szCs w:val="21"/>
        </w:rPr>
      </w:pPr>
    </w:p>
    <w:p>
      <w:pPr>
        <w:spacing w:line="360" w:lineRule="auto"/>
        <w:ind w:firstLine="420"/>
        <w:rPr>
          <w:rFonts w:hint="eastAsia"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广东省河源监狱工会2025年会员电影券采购项目（采购编号：</w:t>
      </w:r>
      <w:r>
        <w:rPr>
          <w:rFonts w:ascii="宋体" w:hAnsi="宋体" w:cs="宋体"/>
          <w:szCs w:val="21"/>
          <w:u w:val="single"/>
        </w:rPr>
        <w:t>GZSW24201FJ4183</w:t>
      </w:r>
      <w:r>
        <w:rPr>
          <w:rFonts w:hint="eastAsia" w:ascii="宋体" w:hAnsi="宋体" w:cs="宋体"/>
          <w:szCs w:val="21"/>
          <w:u w:val="single"/>
        </w:rPr>
        <w:t xml:space="preserve"> ）</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hint="eastAsia"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p>
      <w:pPr>
        <w:widowControl w:val="0"/>
        <w:tabs>
          <w:tab w:val="left" w:pos="851"/>
        </w:tabs>
        <w:spacing w:line="360" w:lineRule="auto"/>
        <w:ind w:firstLine="420" w:firstLineChars="200"/>
        <w:jc w:val="both"/>
        <w:rPr>
          <w:rFonts w:ascii="宋体" w:hAnsi="宋体" w:cs="宋体"/>
          <w:bCs/>
          <w:color w:val="auto"/>
        </w:rPr>
      </w:pPr>
      <w:r>
        <w:rPr>
          <w:rFonts w:hint="eastAsia" w:ascii="宋体" w:hAnsi="宋体" w:cs="宋体"/>
          <w:bCs/>
          <w:color w:val="auto"/>
        </w:rPr>
        <w:t>电影券面值_________________元（￥_______________元）人民币。电影券须全国通兑</w:t>
      </w:r>
      <w:r>
        <w:rPr>
          <w:rFonts w:hint="eastAsia" w:ascii="宋体" w:hAnsi="宋体" w:cs="宋体"/>
          <w:bCs/>
          <w:color w:val="auto"/>
          <w:szCs w:val="22"/>
        </w:rPr>
        <w:t>。</w:t>
      </w:r>
      <w:r>
        <w:rPr>
          <w:rFonts w:hint="eastAsia" w:ascii="宋体" w:hAnsi="宋体" w:cs="宋体"/>
          <w:bCs/>
          <w:color w:val="auto"/>
        </w:rPr>
        <w:t>通兑凭票观看电影时，不受时间、场次、影片、影院、票价及2D/3D的限制，并以电影票面额计算。能够提供方便快捷的线上兑换、购票支付、选座等服务，需提供对应的操作指引。</w:t>
      </w:r>
    </w:p>
    <w:p>
      <w:pPr>
        <w:pStyle w:val="2"/>
        <w:rPr>
          <w:rFonts w:hint="eastAsia"/>
        </w:rPr>
      </w:pPr>
    </w:p>
    <w:p>
      <w:pPr>
        <w:widowControl w:val="0"/>
        <w:numPr>
          <w:ilvl w:val="0"/>
          <w:numId w:val="3"/>
        </w:numPr>
        <w:tabs>
          <w:tab w:val="left" w:pos="851"/>
        </w:tabs>
        <w:spacing w:line="360" w:lineRule="auto"/>
        <w:ind w:left="850" w:hanging="850" w:hangingChars="403"/>
        <w:jc w:val="both"/>
        <w:rPr>
          <w:rFonts w:hint="eastAsia"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color w:val="auto"/>
        </w:rPr>
      </w:pPr>
      <w:r>
        <w:rPr>
          <w:rFonts w:hint="eastAsia" w:ascii="宋体" w:hAnsi="宋体" w:cs="宋体"/>
          <w:color w:val="auto"/>
        </w:rPr>
        <w:t>按每人</w:t>
      </w:r>
      <w:r>
        <w:rPr>
          <w:rFonts w:ascii="宋体" w:hAnsi="宋体" w:cs="宋体"/>
          <w:color w:val="auto"/>
        </w:rPr>
        <w:t>300</w:t>
      </w:r>
      <w:r>
        <w:rPr>
          <w:rFonts w:hint="eastAsia" w:ascii="宋体" w:hAnsi="宋体" w:cs="宋体"/>
          <w:color w:val="auto"/>
        </w:rPr>
        <w:t>元标准，最终结算总价以实际采购数量为准，按最终的实际交货数量*</w:t>
      </w:r>
      <w:r>
        <w:rPr>
          <w:rFonts w:ascii="宋体" w:hAnsi="宋体" w:cs="宋体"/>
          <w:color w:val="auto"/>
        </w:rPr>
        <w:t>300</w:t>
      </w:r>
      <w:r>
        <w:rPr>
          <w:rFonts w:hint="eastAsia" w:ascii="宋体" w:hAnsi="宋体" w:cs="宋体"/>
          <w:color w:val="auto"/>
        </w:rPr>
        <w:t>元进行结算。即：结算总价=实际交货数量×</w:t>
      </w:r>
      <w:r>
        <w:rPr>
          <w:rFonts w:ascii="宋体" w:hAnsi="宋体" w:cs="宋体"/>
          <w:color w:val="auto"/>
        </w:rPr>
        <w:t>30</w:t>
      </w:r>
      <w:r>
        <w:rPr>
          <w:rFonts w:hint="eastAsia" w:ascii="宋体" w:hAnsi="宋体" w:cs="宋体"/>
          <w:color w:val="auto"/>
        </w:rPr>
        <w:t>0元。</w:t>
      </w:r>
    </w:p>
    <w:p>
      <w:pPr>
        <w:pStyle w:val="2"/>
        <w:rPr>
          <w:rFonts w:hint="eastAsia"/>
        </w:rPr>
      </w:pPr>
    </w:p>
    <w:p>
      <w:pPr>
        <w:spacing w:line="360" w:lineRule="auto"/>
        <w:rPr>
          <w:rFonts w:hint="eastAsia" w:ascii="宋体" w:hAnsi="宋体" w:cs="宋体"/>
          <w:b/>
          <w:bCs/>
          <w:kern w:val="44"/>
          <w:szCs w:val="21"/>
        </w:rPr>
      </w:pPr>
      <w:r>
        <w:rPr>
          <w:rFonts w:hint="eastAsia" w:ascii="宋体" w:hAnsi="宋体" w:cs="宋体"/>
          <w:b/>
          <w:bCs/>
          <w:kern w:val="44"/>
          <w:szCs w:val="21"/>
        </w:rPr>
        <w:t>三、</w:t>
      </w:r>
      <w:r>
        <w:rPr>
          <w:rFonts w:hint="eastAsia" w:ascii="宋体" w:hAnsi="宋体" w:cs="宋体"/>
          <w:b/>
          <w:bCs/>
          <w:kern w:val="44"/>
          <w:szCs w:val="21"/>
          <w:lang w:val="zh-CN"/>
        </w:rPr>
        <w:t>服务标准</w:t>
      </w:r>
    </w:p>
    <w:p>
      <w:pPr>
        <w:spacing w:line="360" w:lineRule="auto"/>
        <w:rPr>
          <w:rFonts w:hint="eastAsia" w:ascii="宋体" w:hAnsi="宋体" w:cs="宋体"/>
          <w:kern w:val="44"/>
          <w:szCs w:val="21"/>
        </w:rPr>
      </w:pPr>
      <w:r>
        <w:rPr>
          <w:rFonts w:hint="eastAsia" w:ascii="宋体" w:hAnsi="宋体" w:cs="宋体"/>
          <w:kern w:val="44"/>
          <w:szCs w:val="21"/>
        </w:rPr>
        <w:t>（一）乙方提供的电影券必须满足以下使用范围：</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1.电影券须全国通兑。</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2.电影券享有电影院、爱奇艺、优酷、酷我、网易云音乐、腾讯、酷狗、芒果TV、哔哩哔哩、读书会员（喜马拉雅、得到、帆书、手机知网、豆丁书房等</w:t>
      </w:r>
      <w:r>
        <w:rPr>
          <w:rFonts w:hint="eastAsia" w:ascii="宋体" w:hAnsi="宋体" w:cs="宋体"/>
          <w:color w:val="auto"/>
          <w:kern w:val="44"/>
          <w:szCs w:val="21"/>
        </w:rPr>
        <w:t>）等不少于6个平台的会</w:t>
      </w:r>
      <w:r>
        <w:rPr>
          <w:rFonts w:hint="eastAsia" w:ascii="宋体" w:hAnsi="宋体" w:cs="宋体"/>
          <w:kern w:val="44"/>
          <w:szCs w:val="21"/>
        </w:rPr>
        <w:t>员通兑资格。</w:t>
      </w:r>
    </w:p>
    <w:p>
      <w:pPr>
        <w:spacing w:line="360" w:lineRule="auto"/>
        <w:rPr>
          <w:rFonts w:hint="eastAsia" w:ascii="宋体" w:hAnsi="宋体" w:cs="宋体"/>
          <w:kern w:val="44"/>
          <w:szCs w:val="21"/>
        </w:rPr>
      </w:pPr>
      <w:r>
        <w:rPr>
          <w:rFonts w:hint="eastAsia" w:ascii="宋体" w:hAnsi="宋体" w:cs="宋体"/>
          <w:kern w:val="44"/>
          <w:szCs w:val="21"/>
        </w:rPr>
        <w:t>（二）电影券必须满足以下使用要求：</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1.使用期限：有效期不少于两年。</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2.会员每人一张电影券。</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3.乙方必须拥有自有平台的APP或微信公众号（小程序），能够提供方便快捷的线上兑换、购票支付、选座等服务，需提供对应的操作指引。</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4.乙方无论以何种计价单位如点、豆等显示余额的，均必须等价于人民币的“元”且必须满足全国各大电影院均可通用(即凭票观看电影时不受时间、场次、影片、影院、票价及2D/3D的限制)。电影券金额已包含制作的成本，兑换电影券的手续费，观影的服务手续费等费用，兑换的电影券服务项目不得区别与其他对外销售的电影券，不得对服务进行打折或者捆绑其他的消费或服务套餐。</w:t>
      </w:r>
    </w:p>
    <w:p>
      <w:pPr>
        <w:widowControl w:val="0"/>
        <w:spacing w:line="360" w:lineRule="auto"/>
        <w:ind w:firstLine="210" w:firstLineChars="100"/>
        <w:rPr>
          <w:rFonts w:hint="eastAsia" w:ascii="宋体" w:hAnsi="宋体" w:cs="宋体"/>
          <w:kern w:val="44"/>
          <w:szCs w:val="21"/>
        </w:rPr>
      </w:pPr>
      <w:r>
        <w:rPr>
          <w:rFonts w:hint="eastAsia" w:ascii="宋体" w:hAnsi="宋体" w:cs="宋体"/>
          <w:kern w:val="44"/>
          <w:szCs w:val="21"/>
        </w:rPr>
        <w:t>5.乙方不得对单次购票数、场次及购票金额等设置限制条件。电影券余额不足一场次的票价时，可由使用人充值补足金额后进行通兑，直至通兑票余额归零。</w:t>
      </w:r>
    </w:p>
    <w:p>
      <w:pPr>
        <w:widowControl w:val="0"/>
        <w:spacing w:line="360" w:lineRule="auto"/>
        <w:ind w:firstLine="210" w:firstLineChars="100"/>
        <w:rPr>
          <w:rFonts w:hint="eastAsia" w:ascii="宋体" w:hAnsi="宋体" w:cs="宋体"/>
          <w:kern w:val="44"/>
          <w:szCs w:val="21"/>
        </w:rPr>
      </w:pPr>
      <w:r>
        <w:rPr>
          <w:rFonts w:hint="eastAsia" w:ascii="宋体" w:hAnsi="宋体" w:cs="宋体"/>
          <w:kern w:val="44"/>
          <w:szCs w:val="21"/>
        </w:rPr>
        <w:t>6.影院不限时段、节假日均可兑换（情人节、圣诞节、见面会、首映式、专场演出等特殊场次除外），不包括特效厅、vip 厅。</w:t>
      </w:r>
    </w:p>
    <w:p>
      <w:pPr>
        <w:spacing w:line="360" w:lineRule="auto"/>
        <w:ind w:firstLine="210" w:firstLineChars="100"/>
        <w:jc w:val="both"/>
        <w:rPr>
          <w:rFonts w:ascii="宋体" w:hAnsi="宋体" w:cs="宋体"/>
          <w:kern w:val="44"/>
          <w:szCs w:val="21"/>
        </w:rPr>
      </w:pPr>
      <w:r>
        <w:rPr>
          <w:rFonts w:hint="eastAsia" w:ascii="宋体" w:hAnsi="宋体" w:cs="宋体"/>
          <w:kern w:val="44"/>
          <w:szCs w:val="21"/>
        </w:rPr>
        <w:t>7.电影券可以享受影城同等价格及优惠，兑换标准为1:1兑换，不得加收任务服务费或其他费用。不限于普通厅、VIP厅的2D/3D等，支持IMAX、巨幕、激光特殊影厅兑换等，不能屏蔽场次，屏蔽座位，屏蔽影院。</w:t>
      </w:r>
    </w:p>
    <w:p>
      <w:pPr>
        <w:pStyle w:val="2"/>
        <w:rPr>
          <w:rFonts w:hint="eastAsia"/>
        </w:rPr>
      </w:pP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供货期限、交货方式及交货地点</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1.供货期限：签订合同后10日内一次性送货，最迟送货期限为2025年1月15日。</w:t>
      </w:r>
    </w:p>
    <w:p>
      <w:pPr>
        <w:spacing w:line="360" w:lineRule="auto"/>
        <w:ind w:firstLine="210" w:firstLineChars="100"/>
        <w:rPr>
          <w:rFonts w:hint="eastAsia" w:ascii="宋体" w:hAnsi="宋体" w:cs="宋体"/>
          <w:kern w:val="44"/>
          <w:szCs w:val="21"/>
        </w:rPr>
      </w:pPr>
      <w:r>
        <w:rPr>
          <w:rFonts w:hint="eastAsia" w:ascii="宋体" w:hAnsi="宋体" w:cs="宋体"/>
          <w:kern w:val="44"/>
          <w:szCs w:val="21"/>
        </w:rPr>
        <w:t>2.交货方式：交货时双方确认数量并现场验收。</w:t>
      </w:r>
    </w:p>
    <w:p>
      <w:pPr>
        <w:spacing w:line="360" w:lineRule="auto"/>
        <w:ind w:firstLine="210" w:firstLineChars="100"/>
        <w:rPr>
          <w:rFonts w:hint="eastAsia" w:ascii="宋体" w:hAnsi="宋体" w:cs="宋体"/>
          <w:b/>
          <w:bCs/>
          <w:kern w:val="44"/>
          <w:szCs w:val="21"/>
        </w:rPr>
      </w:pPr>
      <w:r>
        <w:rPr>
          <w:rFonts w:hint="eastAsia" w:ascii="宋体" w:hAnsi="宋体" w:cs="宋体"/>
          <w:kern w:val="44"/>
          <w:szCs w:val="21"/>
        </w:rPr>
        <w:t>3.交货地点：甲方指定地点。</w:t>
      </w:r>
    </w:p>
    <w:p>
      <w:pPr>
        <w:pStyle w:val="2"/>
        <w:rPr>
          <w:rFonts w:hint="eastAsia"/>
        </w:rPr>
      </w:pPr>
    </w:p>
    <w:p>
      <w:pPr>
        <w:spacing w:line="360" w:lineRule="auto"/>
        <w:rPr>
          <w:rFonts w:hint="eastAsia" w:ascii="宋体" w:hAnsi="宋体" w:cs="宋体"/>
          <w:b/>
          <w:bCs/>
          <w:kern w:val="44"/>
          <w:szCs w:val="21"/>
          <w:lang w:val="zh-CN"/>
        </w:rPr>
      </w:pPr>
      <w:r>
        <w:rPr>
          <w:rFonts w:hint="eastAsia" w:ascii="宋体" w:hAnsi="宋体" w:cs="宋体"/>
          <w:b/>
          <w:bCs/>
          <w:kern w:val="44"/>
          <w:szCs w:val="21"/>
        </w:rPr>
        <w:t>五、</w:t>
      </w:r>
      <w:r>
        <w:rPr>
          <w:rFonts w:hint="eastAsia" w:ascii="宋体" w:hAnsi="宋体" w:cs="宋体"/>
          <w:b/>
          <w:bCs/>
          <w:kern w:val="44"/>
          <w:szCs w:val="21"/>
          <w:lang w:val="zh-CN"/>
        </w:rPr>
        <w:t>履约保证金</w:t>
      </w:r>
    </w:p>
    <w:p>
      <w:pPr>
        <w:pStyle w:val="44"/>
        <w:spacing w:line="360" w:lineRule="auto"/>
        <w:jc w:val="both"/>
        <w:rPr>
          <w:szCs w:val="20"/>
        </w:rPr>
      </w:pPr>
      <w:r>
        <w:rPr>
          <w:rFonts w:hint="eastAsia"/>
          <w:szCs w:val="20"/>
        </w:rPr>
        <w:t>在签订合同前</w:t>
      </w:r>
      <w:r>
        <w:rPr>
          <w:rFonts w:hint="eastAsia"/>
        </w:rPr>
        <w:t>乙方</w:t>
      </w:r>
      <w:r>
        <w:rPr>
          <w:rFonts w:hint="eastAsia"/>
          <w:szCs w:val="20"/>
        </w:rPr>
        <w:t>需缴纳采购金额的5%作为履约保证金，以确保相关服务质量达到甲方要求。合同履行满两年后，如无扣款情形的，履约保证金无息退回。（注：电影券的使用不能满足上述“三、服务标准”，经查证属实的，扣除100%履约保证金。）</w:t>
      </w:r>
    </w:p>
    <w:p>
      <w:pPr>
        <w:spacing w:line="360" w:lineRule="auto"/>
        <w:rPr>
          <w:rFonts w:hint="eastAsia"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六、付款方式</w:t>
      </w:r>
    </w:p>
    <w:p>
      <w:pPr>
        <w:pStyle w:val="44"/>
        <w:spacing w:line="360" w:lineRule="auto"/>
        <w:ind w:firstLine="210" w:firstLineChars="100"/>
        <w:rPr>
          <w:rFonts w:hint="eastAsia" w:ascii="宋体" w:hAnsi="宋体" w:cs="宋体"/>
          <w:kern w:val="44"/>
          <w:szCs w:val="21"/>
        </w:rPr>
      </w:pPr>
      <w:r>
        <w:rPr>
          <w:rFonts w:hint="eastAsia" w:ascii="宋体" w:hAnsi="宋体" w:cs="宋体"/>
          <w:kern w:val="44"/>
          <w:szCs w:val="21"/>
        </w:rPr>
        <w:t>1、采购物品按要求送到指定地点，以实际供应量结算，结算金额=实际供应量*人民币300元。</w:t>
      </w:r>
    </w:p>
    <w:p>
      <w:pPr>
        <w:pStyle w:val="44"/>
        <w:spacing w:line="360" w:lineRule="auto"/>
        <w:ind w:firstLine="210" w:firstLineChars="100"/>
      </w:pPr>
      <w:r>
        <w:rPr>
          <w:rFonts w:hint="eastAsia" w:ascii="宋体" w:hAnsi="宋体" w:cs="宋体"/>
          <w:kern w:val="44"/>
          <w:szCs w:val="21"/>
        </w:rPr>
        <w:t>2、甲方验收合格在收到乙方有效发票之日起1</w:t>
      </w:r>
      <w:r>
        <w:rPr>
          <w:rFonts w:ascii="宋体" w:hAnsi="宋体" w:cs="宋体"/>
          <w:kern w:val="44"/>
          <w:szCs w:val="21"/>
        </w:rPr>
        <w:t>5</w:t>
      </w:r>
      <w:r>
        <w:rPr>
          <w:rFonts w:hint="eastAsia" w:ascii="宋体" w:hAnsi="宋体" w:cs="宋体"/>
          <w:kern w:val="44"/>
          <w:szCs w:val="21"/>
        </w:rPr>
        <w:t>日内支付合同金额的100%。</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七、验收标准</w:t>
      </w:r>
    </w:p>
    <w:p>
      <w:pPr>
        <w:spacing w:line="360" w:lineRule="auto"/>
        <w:ind w:firstLine="420" w:firstLineChars="200"/>
        <w:rPr>
          <w:rFonts w:hint="eastAsia" w:ascii="宋体" w:hAnsi="宋体" w:cs="宋体"/>
          <w:kern w:val="44"/>
          <w:sz w:val="21"/>
          <w:szCs w:val="21"/>
          <w:lang w:val="en-US" w:eastAsia="zh-CN" w:bidi="ar-SA"/>
        </w:rPr>
      </w:pPr>
      <w:r>
        <w:rPr>
          <w:rFonts w:hint="eastAsia" w:ascii="宋体" w:hAnsi="宋体" w:cs="宋体"/>
          <w:kern w:val="44"/>
          <w:sz w:val="21"/>
          <w:szCs w:val="21"/>
          <w:lang w:val="en-US" w:eastAsia="zh-CN" w:bidi="ar-SA"/>
        </w:rPr>
        <w:t>标的物的数量、面值与采购信息和报价文件一致，质量符合甲方要求。</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八、违约责任与赔偿损失</w:t>
      </w:r>
    </w:p>
    <w:p>
      <w:pPr>
        <w:spacing w:line="360" w:lineRule="auto"/>
        <w:ind w:firstLine="420" w:firstLineChars="200"/>
        <w:rPr>
          <w:rFonts w:hint="eastAsia" w:ascii="宋体" w:hAnsi="宋体" w:cs="宋体"/>
          <w:szCs w:val="21"/>
        </w:rPr>
      </w:pPr>
      <w:r>
        <w:rPr>
          <w:rFonts w:hint="eastAsia" w:ascii="宋体" w:hAnsi="宋体" w:cs="宋体"/>
          <w:szCs w:val="21"/>
        </w:rPr>
        <w:t>1、乙方应保证提供给甲方质量合格的产品和服务，应符合国家或行业质量标准和法律规定。</w:t>
      </w:r>
    </w:p>
    <w:p>
      <w:pPr>
        <w:spacing w:line="360" w:lineRule="auto"/>
        <w:ind w:firstLine="420" w:firstLineChars="200"/>
        <w:rPr>
          <w:rFonts w:ascii="宋体" w:hAnsi="宋体" w:cs="宋体"/>
          <w:szCs w:val="21"/>
        </w:rPr>
      </w:pPr>
      <w:r>
        <w:rPr>
          <w:rFonts w:hint="eastAsia" w:ascii="宋体" w:hAnsi="宋体" w:cs="宋体"/>
          <w:szCs w:val="21"/>
        </w:rPr>
        <w:t>2、乙方按约定将电影卡送达甲方指定地点；乙方逾期交付的，每逾期一日，应向甲方支付合同总价的5%作为违约金；乙方逾期交付全部或部分产品超过 10 个自然日的，甲方有权单方解除合同并要求乙方支付合同金额 10 %违约金。</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九、争议的解决</w:t>
      </w:r>
    </w:p>
    <w:p>
      <w:pPr>
        <w:adjustRightInd w:val="0"/>
        <w:snapToGrid w:val="0"/>
        <w:spacing w:line="360" w:lineRule="auto"/>
        <w:ind w:firstLine="420" w:firstLineChars="200"/>
        <w:jc w:val="both"/>
        <w:rPr>
          <w:rFonts w:hint="eastAsia"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widowControl w:val="0"/>
        <w:spacing w:line="360" w:lineRule="auto"/>
        <w:rPr>
          <w:rFonts w:hint="eastAsia" w:ascii="宋体" w:hAnsi="宋体" w:cs="宋体"/>
          <w:b/>
          <w:bCs/>
          <w:kern w:val="44"/>
          <w:szCs w:val="21"/>
        </w:rPr>
      </w:pPr>
      <w:r>
        <w:rPr>
          <w:rFonts w:hint="eastAsia" w:ascii="宋体" w:hAnsi="宋体" w:cs="宋体"/>
          <w:b/>
          <w:bCs/>
          <w:kern w:val="44"/>
          <w:szCs w:val="21"/>
        </w:rPr>
        <w:t>十、不可抗力</w:t>
      </w:r>
    </w:p>
    <w:p>
      <w:pPr>
        <w:widowControl w:val="0"/>
        <w:tabs>
          <w:tab w:val="left" w:pos="851"/>
        </w:tabs>
        <w:spacing w:line="360" w:lineRule="auto"/>
        <w:ind w:firstLine="420" w:firstLineChars="200"/>
        <w:rPr>
          <w:rFonts w:hint="eastAsia"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十一、税费</w:t>
      </w:r>
    </w:p>
    <w:p>
      <w:pPr>
        <w:tabs>
          <w:tab w:val="left" w:pos="851"/>
        </w:tabs>
        <w:spacing w:line="360" w:lineRule="auto"/>
        <w:ind w:firstLine="420" w:firstLineChars="200"/>
        <w:rPr>
          <w:rFonts w:hint="eastAsia"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十二、其它</w:t>
      </w:r>
    </w:p>
    <w:p>
      <w:pPr>
        <w:tabs>
          <w:tab w:val="left" w:pos="851"/>
        </w:tabs>
        <w:spacing w:line="360" w:lineRule="auto"/>
        <w:ind w:firstLine="420" w:firstLineChars="200"/>
        <w:rPr>
          <w:rFonts w:hint="eastAsia"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十三、合同生效</w:t>
      </w:r>
    </w:p>
    <w:p>
      <w:pPr>
        <w:tabs>
          <w:tab w:val="left" w:pos="851"/>
        </w:tabs>
        <w:spacing w:line="360" w:lineRule="auto"/>
        <w:ind w:firstLine="420" w:firstLineChars="200"/>
        <w:rPr>
          <w:rFonts w:hint="eastAsia" w:ascii="宋体" w:hAnsi="宋体" w:cs="宋体"/>
        </w:rPr>
      </w:pPr>
      <w:r>
        <w:rPr>
          <w:rFonts w:hint="eastAsia" w:ascii="宋体" w:hAnsi="宋体" w:cs="宋体"/>
        </w:rPr>
        <w:t>1.本合同在甲乙双方法人代表或其授权代表签字盖章后生效。</w:t>
      </w:r>
    </w:p>
    <w:p>
      <w:pPr>
        <w:pStyle w:val="41"/>
        <w:spacing w:line="360" w:lineRule="auto"/>
        <w:rPr>
          <w:rFonts w:hint="eastAsia"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广东省河源监狱工会委员会</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乙方：</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hint="eastAsia" w:ascii="宋体" w:hAnsi="宋体" w:cs="宋体"/>
          <w:szCs w:val="21"/>
        </w:rPr>
      </w:pPr>
      <w:r>
        <w:rPr>
          <w:rFonts w:hint="eastAsia" w:ascii="宋体" w:hAnsi="宋体" w:cs="宋体"/>
          <w:szCs w:val="21"/>
        </w:rPr>
        <w:t>地址：                                     地址：</w:t>
      </w:r>
    </w:p>
    <w:p>
      <w:pPr>
        <w:tabs>
          <w:tab w:val="left" w:pos="5400"/>
        </w:tabs>
        <w:spacing w:line="360" w:lineRule="auto"/>
        <w:rPr>
          <w:rFonts w:hint="eastAsia" w:ascii="宋体" w:hAnsi="宋体" w:cs="宋体"/>
          <w:szCs w:val="21"/>
        </w:rPr>
      </w:pPr>
      <w:r>
        <w:rPr>
          <w:rFonts w:hint="eastAsia" w:ascii="宋体" w:hAnsi="宋体" w:cs="宋体"/>
          <w:szCs w:val="21"/>
        </w:rPr>
        <w:t>电话：　　　                               电话：</w:t>
      </w:r>
    </w:p>
    <w:p>
      <w:pPr>
        <w:spacing w:line="360" w:lineRule="auto"/>
        <w:rPr>
          <w:rFonts w:hint="eastAsia"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hint="eastAsia" w:ascii="宋体" w:hAnsi="宋体" w:cs="宋体"/>
        </w:rPr>
      </w:pPr>
      <w:r>
        <w:rPr>
          <w:rFonts w:hint="eastAsia" w:ascii="宋体" w:hAnsi="宋体" w:cs="宋体"/>
        </w:rPr>
        <w:t>开户行：</w:t>
      </w:r>
    </w:p>
    <w:p>
      <w:pPr>
        <w:spacing w:line="360" w:lineRule="auto"/>
        <w:ind w:firstLine="4515" w:firstLineChars="2150"/>
        <w:rPr>
          <w:rFonts w:hint="eastAsia"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5" w:name="_Hlt507988527"/>
      <w:bookmarkEnd w:id="5"/>
      <w:bookmarkStart w:id="6" w:name="_Hlt493478646"/>
      <w:bookmarkEnd w:id="6"/>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ascii="宋体" w:hAnsi="宋体" w:cs="宋体"/>
          <w:bCs/>
          <w:iCs/>
        </w:rPr>
        <w:t>GZSW24201FJ4183</w:t>
      </w:r>
      <w:r>
        <w:rPr>
          <w:rFonts w:hint="eastAsia" w:ascii="宋体" w:hAnsi="宋体" w:cs="宋体"/>
          <w:bCs/>
          <w:iCs/>
        </w:rPr>
        <w:t xml:space="preserve"> </w:t>
      </w:r>
    </w:p>
    <w:tbl>
      <w:tblPr>
        <w:tblStyle w:val="28"/>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电影券面值报价</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both"/>
              <w:rPr>
                <w:rFonts w:hint="eastAsia" w:ascii="宋体" w:hAnsi="宋体"/>
                <w:lang w:val="ru-RU"/>
              </w:rPr>
            </w:pPr>
            <w:r>
              <w:rPr>
                <w:rFonts w:hint="eastAsia" w:ascii="宋体" w:hAnsi="宋体"/>
                <w:szCs w:val="21"/>
              </w:rPr>
              <w:t>广东省河源监狱工会2025年会员电影券采购项目</w:t>
            </w:r>
          </w:p>
        </w:tc>
        <w:tc>
          <w:tcPr>
            <w:tcW w:w="3260" w:type="dxa"/>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元</w:t>
            </w:r>
          </w:p>
          <w:p>
            <w:pPr>
              <w:autoSpaceDE w:val="0"/>
              <w:autoSpaceDN w:val="0"/>
              <w:adjustRightInd w:val="0"/>
              <w:spacing w:line="480" w:lineRule="exact"/>
              <w:ind w:firstLine="210" w:firstLineChars="100"/>
              <w:rPr>
                <w:rFonts w:ascii="宋体" w:hAnsi="宋体" w:cs="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w:t>
            </w:r>
          </w:p>
        </w:tc>
        <w:tc>
          <w:tcPr>
            <w:tcW w:w="1734" w:type="dxa"/>
            <w:vAlign w:val="center"/>
          </w:tcPr>
          <w:p>
            <w:pPr>
              <w:adjustRightInd w:val="0"/>
              <w:snapToGrid w:val="0"/>
              <w:spacing w:line="360" w:lineRule="auto"/>
              <w:jc w:val="both"/>
              <w:rPr>
                <w:rFonts w:ascii="宋体" w:hAnsi="宋体" w:cs="宋体"/>
                <w:szCs w:val="21"/>
              </w:rPr>
            </w:pPr>
            <w:r>
              <w:rPr>
                <w:rFonts w:hint="eastAsia" w:ascii="宋体" w:hAnsi="宋体" w:cs="宋体"/>
                <w:szCs w:val="21"/>
              </w:rPr>
              <w:t>按每人</w:t>
            </w:r>
            <w:r>
              <w:rPr>
                <w:rFonts w:ascii="宋体" w:hAnsi="宋体" w:cs="宋体"/>
                <w:szCs w:val="21"/>
              </w:rPr>
              <w:t>300</w:t>
            </w:r>
            <w:r>
              <w:rPr>
                <w:rFonts w:hint="eastAsia" w:ascii="宋体" w:hAnsi="宋体" w:cs="宋体"/>
                <w:szCs w:val="21"/>
              </w:rPr>
              <w:t>元标准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jc w:val="center"/>
        </w:trPr>
        <w:tc>
          <w:tcPr>
            <w:tcW w:w="9140" w:type="dxa"/>
            <w:gridSpan w:val="4"/>
            <w:vAlign w:val="center"/>
          </w:tcPr>
          <w:p>
            <w:pPr>
              <w:autoSpaceDE w:val="0"/>
              <w:autoSpaceDN w:val="0"/>
              <w:adjustRightInd w:val="0"/>
              <w:spacing w:line="480" w:lineRule="exact"/>
              <w:rPr>
                <w:rFonts w:ascii="宋体" w:hAnsi="宋体" w:cs="宋体"/>
                <w:szCs w:val="21"/>
              </w:rPr>
            </w:pPr>
            <w:r>
              <w:rPr>
                <w:rFonts w:ascii="宋体" w:hAnsi="宋体"/>
                <w:szCs w:val="21"/>
              </w:rPr>
              <w:t>备注：详细内容见《报价明细表》。</w:t>
            </w: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tabs>
          <w:tab w:val="left" w:pos="210"/>
        </w:tabs>
        <w:spacing w:line="360" w:lineRule="auto"/>
        <w:ind w:firstLine="420" w:firstLineChars="200"/>
        <w:rPr>
          <w:rFonts w:ascii="宋体" w:hAnsi="宋体" w:cs="黑体"/>
          <w:b/>
          <w:bCs/>
          <w:kern w:val="2"/>
          <w:sz w:val="24"/>
          <w:szCs w:val="24"/>
        </w:rPr>
      </w:pPr>
      <w:r>
        <w:rPr>
          <w:rFonts w:hint="eastAsia" w:ascii="宋体" w:hAnsi="宋体" w:cs="宋体"/>
          <w:szCs w:val="21"/>
        </w:rPr>
        <w:t>1.</w:t>
      </w:r>
      <w:r>
        <w:rPr>
          <w:rFonts w:hint="eastAsia"/>
        </w:rPr>
        <w:t>竞价</w:t>
      </w:r>
      <w:r>
        <w:rPr>
          <w:rFonts w:hint="eastAsia" w:ascii="宋体" w:hAnsi="宋体" w:cs="宋体"/>
          <w:szCs w:val="21"/>
        </w:rPr>
        <w:t>供应商报价按每人不低于</w:t>
      </w:r>
      <w:r>
        <w:rPr>
          <w:rFonts w:ascii="宋体" w:hAnsi="宋体" w:cs="宋体"/>
          <w:szCs w:val="21"/>
        </w:rPr>
        <w:t>300</w:t>
      </w:r>
      <w:r>
        <w:rPr>
          <w:rFonts w:hint="eastAsia" w:ascii="宋体" w:hAnsi="宋体" w:cs="宋体"/>
          <w:szCs w:val="21"/>
        </w:rPr>
        <w:t>元标准，</w:t>
      </w:r>
      <w:r>
        <w:rPr>
          <w:rFonts w:hint="eastAsia"/>
        </w:rPr>
        <w:t>以电影通兑券面值最大者推荐为成交供应商</w:t>
      </w:r>
      <w:r>
        <w:rPr>
          <w:rFonts w:hint="eastAsia" w:ascii="宋体" w:hAnsi="宋体" w:cs="宋体"/>
          <w:szCs w:val="21"/>
        </w:rPr>
        <w:t>。</w:t>
      </w:r>
    </w:p>
    <w:p>
      <w:pPr>
        <w:tabs>
          <w:tab w:val="left" w:pos="210"/>
        </w:tabs>
        <w:spacing w:line="360" w:lineRule="auto"/>
        <w:ind w:firstLine="420" w:firstLineChars="200"/>
        <w:rPr>
          <w:rFonts w:ascii="宋体" w:hAnsi="宋体" w:cs="宋体"/>
          <w:szCs w:val="21"/>
        </w:rPr>
      </w:pPr>
      <w:r>
        <w:rPr>
          <w:rFonts w:hint="eastAsia" w:ascii="宋体" w:hAnsi="宋体" w:cs="宋体"/>
          <w:szCs w:val="21"/>
        </w:rPr>
        <w:t>2.竞价供应商报价总价以实际采购数量为准，按最终的实际交货数量*</w:t>
      </w:r>
      <w:r>
        <w:rPr>
          <w:rFonts w:ascii="宋体" w:hAnsi="宋体" w:cs="宋体"/>
          <w:szCs w:val="21"/>
        </w:rPr>
        <w:t>300</w:t>
      </w:r>
      <w:r>
        <w:rPr>
          <w:rFonts w:hint="eastAsia" w:ascii="宋体" w:hAnsi="宋体" w:cs="宋体"/>
          <w:szCs w:val="21"/>
        </w:rPr>
        <w:t>元进行结算。</w:t>
      </w:r>
      <w:r>
        <w:rPr>
          <w:rFonts w:hint="eastAsia"/>
        </w:rPr>
        <w:t>即：结算总价=实际交货数量</w:t>
      </w:r>
      <w:r>
        <w:t>×300</w:t>
      </w:r>
      <w:r>
        <w:rPr>
          <w:rFonts w:hint="eastAsia"/>
        </w:rPr>
        <w:t>元。</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hint="eastAsia"/>
        </w:rPr>
        <w:t>竞价</w:t>
      </w:r>
      <w:r>
        <w:rPr>
          <w:rFonts w:hint="eastAsia" w:ascii="宋体" w:hAnsi="宋体" w:cs="宋体"/>
          <w:szCs w:val="21"/>
        </w:rPr>
        <w:t>供应商无论以何种计价单位如点、豆等显示余额的，均必须等价于人民币的“元”且必须满足全省各大电影院均可通用(即凭票观看电影时不受时间、场次、影片、影院、票价及2D/3D的限制)。电影券金额已包含制作的成本、税费，兑换电影票的手续费，观影的服务手续费等费用，兑换的电影票服务项目不得区别与其他对外销售的电影票，不得对服务进行打折或者捆绑其他的消费或服务套餐。</w:t>
      </w:r>
    </w:p>
    <w:p>
      <w:pPr>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rPr>
        <w:t xml:space="preserve"> </w:t>
      </w:r>
      <w:r>
        <w:rPr>
          <w:rFonts w:hint="eastAsia" w:ascii="宋体" w:hAnsi="宋体" w:cs="宋体"/>
          <w:szCs w:val="21"/>
        </w:rPr>
        <w:t>竞价供应商报价表必须加盖公章，会员电影券所报面额在实际使用时不得有前提条件或限制条件，否则将按无效报价处理。</w:t>
      </w:r>
    </w:p>
    <w:p>
      <w:pPr>
        <w:pStyle w:val="2"/>
        <w:spacing w:line="360" w:lineRule="auto"/>
      </w:pPr>
    </w:p>
    <w:p>
      <w:pPr>
        <w:pStyle w:val="2"/>
        <w:spacing w:line="360" w:lineRule="auto"/>
        <w:rPr>
          <w:rFonts w:hint="eastAsia"/>
        </w:rPr>
      </w:pPr>
    </w:p>
    <w:p>
      <w:pPr>
        <w:pStyle w:val="14"/>
        <w:spacing w:line="360" w:lineRule="auto"/>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360" w:lineRule="auto"/>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rPr>
          <w:rFonts w:hint="eastAsia"/>
        </w:rPr>
      </w:pPr>
    </w:p>
    <w:p>
      <w:pPr>
        <w:spacing w:line="360" w:lineRule="auto"/>
        <w:rPr>
          <w:rFonts w:ascii="宋体" w:hAnsi="宋体"/>
          <w:b/>
          <w:bCs/>
          <w:sz w:val="32"/>
          <w:szCs w:val="32"/>
        </w:rPr>
      </w:pPr>
      <w:r>
        <w:rPr>
          <w:rFonts w:hAnsi="宋体" w:cs="宋体"/>
          <w:b/>
          <w:bCs/>
          <w:sz w:val="32"/>
          <w:szCs w:val="32"/>
        </w:rPr>
        <w:br w:type="page"/>
      </w:r>
      <w:r>
        <w:rPr>
          <w:rFonts w:hint="eastAsia" w:ascii="宋体" w:hAnsi="宋体"/>
          <w:b/>
          <w:bCs/>
          <w:sz w:val="32"/>
          <w:szCs w:val="32"/>
        </w:rPr>
        <w:t>2.承诺函格式</w:t>
      </w:r>
    </w:p>
    <w:p>
      <w:pPr>
        <w:spacing w:line="360" w:lineRule="auto"/>
        <w:rPr>
          <w:rFonts w:hint="eastAsia" w:ascii="宋体" w:hAnsi="宋体"/>
          <w:b/>
          <w:bCs/>
          <w:sz w:val="32"/>
          <w:szCs w:val="32"/>
        </w:rPr>
      </w:pPr>
      <w:r>
        <w:rPr>
          <w:rFonts w:hint="eastAsia" w:ascii="宋体" w:hAnsi="宋体"/>
          <w:b/>
          <w:bCs/>
          <w:sz w:val="32"/>
          <w:szCs w:val="32"/>
        </w:rPr>
        <w:t>2.1报价承诺函</w:t>
      </w:r>
    </w:p>
    <w:p>
      <w:pPr>
        <w:adjustRightInd w:val="0"/>
        <w:snapToGrid w:val="0"/>
        <w:spacing w:line="360" w:lineRule="auto"/>
        <w:jc w:val="center"/>
        <w:rPr>
          <w:rFonts w:hint="eastAsia"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Pr>
        <w:spacing w:line="360" w:lineRule="auto"/>
        <w:rPr>
          <w:rFonts w:hint="eastAsia"/>
        </w:rPr>
      </w:pPr>
    </w:p>
    <w:p>
      <w:pPr>
        <w:pStyle w:val="14"/>
        <w:spacing w:line="360" w:lineRule="auto"/>
        <w:ind w:right="120" w:rightChars="57"/>
        <w:rPr>
          <w:rFonts w:hint="eastAsia" w:hAnsi="宋体" w:cs="宋体"/>
          <w:b/>
          <w:szCs w:val="21"/>
        </w:rPr>
      </w:pPr>
      <w:r>
        <w:rPr>
          <w:rFonts w:hint="eastAsia" w:hAnsi="宋体" w:cs="宋体"/>
          <w:b/>
          <w:szCs w:val="21"/>
        </w:rPr>
        <w:t>致：广东省河源监狱工会委员会</w:t>
      </w:r>
    </w:p>
    <w:p>
      <w:pPr>
        <w:pStyle w:val="14"/>
        <w:spacing w:line="360" w:lineRule="auto"/>
        <w:ind w:right="120" w:rightChars="57" w:firstLine="420" w:firstLineChars="200"/>
        <w:rPr>
          <w:rFonts w:hint="eastAsia" w:hAnsi="宋体" w:cs="宋体"/>
          <w:szCs w:val="21"/>
        </w:rPr>
      </w:pPr>
      <w:r>
        <w:rPr>
          <w:rFonts w:hint="eastAsia" w:hAnsi="宋体" w:cs="宋体"/>
          <w:szCs w:val="21"/>
        </w:rPr>
        <w:t>我单位已认真仔细阅读了贵方《</w:t>
      </w:r>
      <w:r>
        <w:rPr>
          <w:rFonts w:hint="eastAsia" w:hAnsi="宋体"/>
          <w:szCs w:val="21"/>
        </w:rPr>
        <w:t>广东省河源监狱工会2025年会员电影券采购项目</w:t>
      </w:r>
      <w:r>
        <w:rPr>
          <w:rFonts w:hint="eastAsia" w:hAnsi="宋体" w:cs="宋体"/>
          <w:szCs w:val="21"/>
        </w:rPr>
        <w:t>》竞价文件，我司决定参加报价。并承诺如下：</w:t>
      </w:r>
    </w:p>
    <w:p>
      <w:pPr>
        <w:pStyle w:val="14"/>
        <w:spacing w:line="360" w:lineRule="auto"/>
        <w:ind w:right="120" w:rightChars="57" w:firstLine="315" w:firstLineChars="150"/>
        <w:jc w:val="left"/>
        <w:rPr>
          <w:rFonts w:hAnsi="宋体"/>
          <w:szCs w:val="21"/>
        </w:rPr>
      </w:pPr>
      <w:r>
        <w:rPr>
          <w:rFonts w:hint="eastAsia" w:hAnsi="宋体"/>
          <w:szCs w:val="21"/>
        </w:rPr>
        <w:t>1.我方响应竞价文件《项目需求书》中的所有内容，我方具备本项目的供货和服务能力，能按时、按质、按量完成全部项目内容。</w:t>
      </w:r>
    </w:p>
    <w:p>
      <w:pPr>
        <w:pStyle w:val="14"/>
        <w:spacing w:line="360" w:lineRule="auto"/>
        <w:ind w:right="120" w:rightChars="57" w:firstLine="315" w:firstLineChars="150"/>
        <w:jc w:val="left"/>
        <w:rPr>
          <w:rFonts w:hAnsi="宋体"/>
        </w:rPr>
      </w:pPr>
      <w:r>
        <w:rPr>
          <w:rFonts w:hint="eastAsia" w:hAnsi="宋体"/>
          <w:szCs w:val="21"/>
        </w:rPr>
        <w:t>2.按照竞价文件规定的各项要求进行</w:t>
      </w:r>
      <w:r>
        <w:rPr>
          <w:rFonts w:hAnsi="宋体"/>
          <w:szCs w:val="21"/>
        </w:rPr>
        <w:t>报价</w:t>
      </w:r>
      <w:r>
        <w:rPr>
          <w:rFonts w:hint="eastAsia" w:hAnsi="宋体"/>
          <w:szCs w:val="21"/>
        </w:rPr>
        <w:t>，所报</w:t>
      </w:r>
      <w:r>
        <w:rPr>
          <w:rFonts w:hAnsi="宋体"/>
          <w:szCs w:val="21"/>
        </w:rPr>
        <w:t>价格</w:t>
      </w:r>
      <w:r>
        <w:rPr>
          <w:rFonts w:hint="eastAsia" w:hAnsi="宋体"/>
          <w:szCs w:val="21"/>
        </w:rPr>
        <w:t>含</w:t>
      </w:r>
      <w:r>
        <w:rPr>
          <w:rFonts w:hint="eastAsia" w:hAnsi="宋体"/>
        </w:rPr>
        <w:t>完成用户需求书中要求的所有工作内容而发生的所有直接费用、间接费用和我方要求获得的利润以及应由我方承担的义务、责任和风险所发生的一切费用和赔偿。</w:t>
      </w:r>
    </w:p>
    <w:p>
      <w:pPr>
        <w:pStyle w:val="14"/>
        <w:spacing w:line="360" w:lineRule="auto"/>
        <w:ind w:right="120" w:rightChars="57" w:firstLine="315" w:firstLineChars="150"/>
        <w:jc w:val="left"/>
        <w:rPr>
          <w:rFonts w:hAnsi="宋体"/>
          <w:szCs w:val="21"/>
        </w:rPr>
      </w:pPr>
      <w:r>
        <w:rPr>
          <w:rFonts w:hint="eastAsia" w:hAnsi="宋体"/>
        </w:rPr>
        <w:t>3.</w:t>
      </w:r>
      <w:r>
        <w:rPr>
          <w:rFonts w:hint="eastAsia" w:hAnsi="宋体"/>
          <w:szCs w:val="21"/>
        </w:rPr>
        <w:t xml:space="preserve"> 我方非联合体参加竞标，我方承诺如获得成交，不会将本项目分包或转包。</w:t>
      </w:r>
    </w:p>
    <w:p>
      <w:pPr>
        <w:pStyle w:val="14"/>
        <w:spacing w:line="360" w:lineRule="auto"/>
        <w:ind w:right="120" w:rightChars="57" w:firstLine="315" w:firstLineChars="150"/>
        <w:jc w:val="left"/>
        <w:rPr>
          <w:rFonts w:hAnsi="宋体"/>
          <w:szCs w:val="21"/>
        </w:rPr>
      </w:pPr>
      <w:r>
        <w:rPr>
          <w:rFonts w:hint="eastAsia" w:hAnsi="宋体"/>
          <w:szCs w:val="21"/>
        </w:rPr>
        <w:t>4．一旦我公司成交，我方将严格履行竞价文件及合同规定的责任和义务，保证于合同签字后生效后按照贵单位要求完成。</w:t>
      </w:r>
    </w:p>
    <w:p>
      <w:pPr>
        <w:pStyle w:val="14"/>
        <w:spacing w:line="360" w:lineRule="auto"/>
        <w:ind w:right="120" w:rightChars="57" w:firstLine="315" w:firstLineChars="150"/>
        <w:rPr>
          <w:rFonts w:hAnsi="宋体"/>
        </w:rPr>
      </w:pPr>
      <w:r>
        <w:rPr>
          <w:rFonts w:hint="eastAsia" w:hAnsi="宋体"/>
          <w:szCs w:val="21"/>
        </w:rPr>
        <w:t>5．我方愿意提供贵单位可能另外要求的、与报价相关的文件资料，并保证文件资料的真实性和</w:t>
      </w:r>
      <w:r>
        <w:rPr>
          <w:rFonts w:hint="eastAsia" w:hAnsi="宋体"/>
        </w:rPr>
        <w:t>准确性。</w:t>
      </w:r>
      <w:r>
        <w:rPr>
          <w:rFonts w:hint="eastAsia" w:hAnsi="宋体"/>
        </w:rPr>
        <w:cr/>
      </w:r>
      <w:r>
        <w:rPr>
          <w:rFonts w:hint="eastAsia" w:hAnsi="宋体"/>
        </w:rPr>
        <w:t xml:space="preserve">   6. 我方符合以下要求：</w:t>
      </w:r>
    </w:p>
    <w:p>
      <w:pPr>
        <w:pStyle w:val="14"/>
        <w:spacing w:line="360" w:lineRule="auto"/>
        <w:ind w:right="120" w:rightChars="57" w:firstLine="315" w:firstLineChars="150"/>
        <w:rPr>
          <w:rFonts w:hAnsi="宋体"/>
        </w:rPr>
      </w:pPr>
      <w:r>
        <w:rPr>
          <w:rFonts w:hint="eastAsia" w:hAnsi="宋体"/>
        </w:rPr>
        <w:t>（1）具有独立承担民事责任的能力；</w:t>
      </w:r>
    </w:p>
    <w:p>
      <w:pPr>
        <w:pStyle w:val="14"/>
        <w:spacing w:line="360" w:lineRule="auto"/>
        <w:ind w:right="120" w:rightChars="57" w:firstLine="315" w:firstLineChars="150"/>
        <w:rPr>
          <w:rFonts w:hAnsi="宋体"/>
        </w:rPr>
      </w:pPr>
      <w:r>
        <w:rPr>
          <w:rFonts w:hint="eastAsia" w:hAnsi="宋体"/>
        </w:rPr>
        <w:t>（2）具有良好的商业信誉和健全的财务会计制度；</w:t>
      </w:r>
    </w:p>
    <w:p>
      <w:pPr>
        <w:pStyle w:val="14"/>
        <w:spacing w:line="360" w:lineRule="auto"/>
        <w:ind w:right="120" w:rightChars="57" w:firstLine="315" w:firstLineChars="150"/>
        <w:rPr>
          <w:rFonts w:hAnsi="宋体"/>
        </w:rPr>
      </w:pPr>
      <w:r>
        <w:rPr>
          <w:rFonts w:hint="eastAsia" w:hAnsi="宋体"/>
        </w:rPr>
        <w:t>（3）具有履行合同所必需的设备和专业技术能力；</w:t>
      </w:r>
    </w:p>
    <w:p>
      <w:pPr>
        <w:pStyle w:val="14"/>
        <w:spacing w:line="360" w:lineRule="auto"/>
        <w:ind w:right="120" w:rightChars="57" w:firstLine="315" w:firstLineChars="150"/>
        <w:rPr>
          <w:rFonts w:hAnsi="宋体"/>
        </w:rPr>
      </w:pPr>
      <w:r>
        <w:rPr>
          <w:rFonts w:hint="eastAsia" w:hAnsi="宋体"/>
        </w:rPr>
        <w:t>（4）有依法缴纳税收和社会保障资金的良好记录；</w:t>
      </w:r>
    </w:p>
    <w:p>
      <w:pPr>
        <w:pStyle w:val="14"/>
        <w:spacing w:line="360" w:lineRule="auto"/>
        <w:ind w:right="120" w:rightChars="57" w:firstLine="315" w:firstLineChars="150"/>
        <w:rPr>
          <w:rFonts w:hAnsi="宋体"/>
        </w:rPr>
      </w:pPr>
      <w:r>
        <w:rPr>
          <w:rFonts w:hint="eastAsia" w:hAnsi="宋体"/>
        </w:rPr>
        <w:t>（5）参加政府采购活动前三年内，在经营活动中没有重大违法记录；</w:t>
      </w:r>
    </w:p>
    <w:p>
      <w:pPr>
        <w:pStyle w:val="14"/>
        <w:spacing w:line="360" w:lineRule="auto"/>
        <w:ind w:right="120" w:rightChars="57" w:firstLine="315" w:firstLineChars="150"/>
        <w:rPr>
          <w:rFonts w:hAnsi="宋体"/>
        </w:rPr>
      </w:pPr>
      <w:r>
        <w:rPr>
          <w:rFonts w:hint="eastAsia" w:hAnsi="宋体"/>
        </w:rPr>
        <w:t>（6）法律、行政法规规定的其他条件。</w:t>
      </w:r>
    </w:p>
    <w:p>
      <w:pPr>
        <w:pStyle w:val="14"/>
        <w:spacing w:line="360" w:lineRule="auto"/>
        <w:ind w:right="120" w:rightChars="57" w:firstLine="315" w:firstLineChars="150"/>
        <w:rPr>
          <w:rFonts w:hint="eastAsia" w:hAnsi="宋体"/>
          <w:szCs w:val="22"/>
        </w:rPr>
      </w:pPr>
      <w:r>
        <w:rPr>
          <w:rFonts w:hint="eastAsia" w:hAnsi="宋体"/>
          <w:szCs w:val="22"/>
        </w:rPr>
        <w:t>7.我方提供使用期限有效期不少于两年。</w:t>
      </w:r>
    </w:p>
    <w:p>
      <w:pPr>
        <w:pStyle w:val="14"/>
        <w:spacing w:line="360" w:lineRule="auto"/>
        <w:ind w:right="120" w:rightChars="57" w:firstLine="315" w:firstLineChars="150"/>
        <w:rPr>
          <w:rFonts w:hint="eastAsia" w:hAnsi="宋体"/>
          <w:szCs w:val="22"/>
        </w:rPr>
      </w:pPr>
      <w:r>
        <w:rPr>
          <w:rFonts w:hint="eastAsia" w:hAnsi="宋体"/>
          <w:szCs w:val="22"/>
        </w:rPr>
        <w:t>8.我方承诺会员每人一张电影券。</w:t>
      </w:r>
    </w:p>
    <w:p>
      <w:pPr>
        <w:pStyle w:val="14"/>
        <w:spacing w:line="360" w:lineRule="auto"/>
        <w:ind w:right="120" w:rightChars="57" w:firstLine="315" w:firstLineChars="150"/>
        <w:rPr>
          <w:rFonts w:hint="eastAsia" w:hAnsi="宋体"/>
          <w:szCs w:val="22"/>
        </w:rPr>
      </w:pPr>
      <w:r>
        <w:rPr>
          <w:rFonts w:hint="eastAsia" w:hAnsi="宋体"/>
          <w:szCs w:val="22"/>
        </w:rPr>
        <w:t>9. 我方承诺电影票通兑券在全国各大电影院均可使用观影。</w:t>
      </w:r>
    </w:p>
    <w:p>
      <w:pPr>
        <w:pStyle w:val="14"/>
        <w:spacing w:line="360" w:lineRule="auto"/>
        <w:ind w:right="120" w:rightChars="57" w:firstLine="315" w:firstLineChars="150"/>
        <w:rPr>
          <w:rFonts w:hint="eastAsia" w:hAnsi="宋体"/>
          <w:szCs w:val="22"/>
        </w:rPr>
      </w:pPr>
      <w:r>
        <w:rPr>
          <w:rFonts w:hint="eastAsia" w:hAnsi="宋体"/>
          <w:szCs w:val="22"/>
        </w:rPr>
        <w:t>10.我方拥有自有平台的APP或微信公众号（小程序），能够提供方便快捷的线上兑换、购票支付、选座等服务，需提供对应的操作指引。</w:t>
      </w:r>
    </w:p>
    <w:p>
      <w:pPr>
        <w:pStyle w:val="14"/>
        <w:spacing w:line="360" w:lineRule="auto"/>
        <w:ind w:right="120" w:rightChars="57" w:firstLine="315" w:firstLineChars="150"/>
        <w:rPr>
          <w:rFonts w:hint="eastAsia" w:hAnsi="宋体"/>
          <w:szCs w:val="22"/>
        </w:rPr>
      </w:pPr>
      <w:r>
        <w:rPr>
          <w:rFonts w:hint="eastAsia" w:hAnsi="宋体"/>
          <w:szCs w:val="22"/>
        </w:rPr>
        <w:t>11.我方承诺不对单次购票数、场次及购票金额等设置限制条件。电影券余额不足一场次的票价时，可由使用人充值补足金额后进行通兑，直至通兑票余额归零。</w:t>
      </w:r>
    </w:p>
    <w:p>
      <w:pPr>
        <w:pStyle w:val="14"/>
        <w:spacing w:line="360" w:lineRule="auto"/>
        <w:ind w:right="120" w:rightChars="57" w:firstLine="315" w:firstLineChars="150"/>
        <w:rPr>
          <w:rFonts w:hint="eastAsia" w:hAnsi="宋体"/>
          <w:szCs w:val="22"/>
        </w:rPr>
      </w:pPr>
      <w:r>
        <w:rPr>
          <w:rFonts w:hint="eastAsia" w:hAnsi="宋体"/>
          <w:szCs w:val="22"/>
        </w:rPr>
        <w:t>12.我方承诺影院不限时段、节假日均可兑换（情人节、圣诞节、见面会、首映式、专场演出等特殊场次除外），不包括特效厅、vip 厅。</w:t>
      </w:r>
    </w:p>
    <w:p>
      <w:pPr>
        <w:pStyle w:val="14"/>
        <w:spacing w:line="360" w:lineRule="auto"/>
        <w:ind w:right="120" w:rightChars="57" w:firstLine="315" w:firstLineChars="150"/>
        <w:rPr>
          <w:rFonts w:hint="eastAsia" w:hAnsi="宋体"/>
          <w:szCs w:val="22"/>
        </w:rPr>
      </w:pPr>
      <w:r>
        <w:rPr>
          <w:rFonts w:hint="eastAsia" w:hAnsi="宋体"/>
          <w:szCs w:val="22"/>
        </w:rPr>
        <w:t>13.我方提供的电影券可以享受影城同等价格及优惠，兑换标准为1:1兑换，不加收任务服务费或其他费用。不限于普通厅、VIP厅的2D/3D等，支持IMAX、巨幕、激光特殊影厅兑换等，不屏蔽场次，屏蔽座位，屏蔽影院。</w:t>
      </w:r>
    </w:p>
    <w:p>
      <w:pPr>
        <w:pStyle w:val="14"/>
        <w:spacing w:line="360" w:lineRule="auto"/>
        <w:ind w:right="120" w:rightChars="57" w:firstLine="315" w:firstLineChars="150"/>
        <w:rPr>
          <w:rFonts w:hint="eastAsia" w:hAnsi="宋体"/>
          <w:szCs w:val="22"/>
        </w:rPr>
      </w:pPr>
      <w:r>
        <w:rPr>
          <w:rFonts w:hint="eastAsia" w:hAnsi="宋体"/>
          <w:szCs w:val="22"/>
        </w:rPr>
        <w:t>14.我方不是联合体参加竞标，并承诺如获得成交，不将项目分包或转包；</w:t>
      </w:r>
    </w:p>
    <w:p>
      <w:pPr>
        <w:pStyle w:val="14"/>
        <w:spacing w:line="360" w:lineRule="auto"/>
        <w:ind w:right="120" w:rightChars="57" w:firstLine="315" w:firstLineChars="150"/>
        <w:rPr>
          <w:rFonts w:hAnsi="宋体"/>
        </w:rPr>
      </w:pPr>
      <w:r>
        <w:rPr>
          <w:rFonts w:hAnsi="宋体"/>
        </w:rPr>
        <w:t>15</w:t>
      </w:r>
      <w:r>
        <w:rPr>
          <w:rFonts w:hint="eastAsia" w:hAnsi="宋体"/>
        </w:rPr>
        <w:t>.我方与其他参与本项目的供应商不存在隶属关系或同属一母公司或法人的企业。</w:t>
      </w:r>
    </w:p>
    <w:p>
      <w:pPr>
        <w:pStyle w:val="14"/>
        <w:spacing w:line="360" w:lineRule="auto"/>
        <w:ind w:right="120" w:rightChars="57" w:firstLine="315" w:firstLineChars="150"/>
        <w:rPr>
          <w:rFonts w:hAnsi="宋体"/>
        </w:rPr>
      </w:pPr>
      <w:r>
        <w:rPr>
          <w:rFonts w:hint="eastAsia" w:hAnsi="宋体"/>
        </w:rPr>
        <w:t>如我方违约，我方愿无条件赔偿贵单位因此造成的一切损失。</w:t>
      </w:r>
    </w:p>
    <w:p>
      <w:pPr>
        <w:pStyle w:val="14"/>
        <w:spacing w:line="360" w:lineRule="auto"/>
        <w:ind w:right="120" w:rightChars="57" w:firstLine="420" w:firstLineChars="200"/>
        <w:jc w:val="left"/>
        <w:rPr>
          <w:rFonts w:hint="eastAsia" w:hAnsi="宋体" w:cs="宋体"/>
          <w:szCs w:val="21"/>
        </w:rPr>
      </w:pPr>
    </w:p>
    <w:p>
      <w:pPr>
        <w:spacing w:line="360" w:lineRule="auto"/>
        <w:rPr>
          <w:rFonts w:hint="eastAsia"/>
        </w:rPr>
      </w:pPr>
      <w:r>
        <w:rPr>
          <w:rFonts w:hint="eastAsia"/>
        </w:rPr>
        <w:t xml:space="preserve"> </w:t>
      </w:r>
    </w:p>
    <w:p>
      <w:pPr>
        <w:adjustRightInd w:val="0"/>
        <w:snapToGrid w:val="0"/>
        <w:spacing w:line="360" w:lineRule="auto"/>
        <w:rPr>
          <w:rFonts w:hint="eastAsia" w:ascii="宋体" w:hAnsi="宋体" w:cs="宋体"/>
          <w:kern w:val="10"/>
          <w:szCs w:val="21"/>
        </w:rPr>
      </w:pPr>
      <w:r>
        <w:rPr>
          <w:rFonts w:hint="eastAsia" w:ascii="宋体" w:hAnsi="宋体" w:cs="宋体"/>
          <w:szCs w:val="21"/>
        </w:rPr>
        <w:t>竞价供应商名称（公章）</w:t>
      </w:r>
      <w:r>
        <w:rPr>
          <w:rFonts w:hint="eastAsia" w:ascii="宋体" w:hAnsi="宋体" w:cs="宋体"/>
          <w:kern w:val="10"/>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kern w:val="10"/>
          <w:szCs w:val="21"/>
        </w:rPr>
        <w:t>法定代表人或法定代表人授权代表签字</w:t>
      </w:r>
      <w:r>
        <w:rPr>
          <w:rFonts w:hint="eastAsia" w:ascii="宋体" w:hAnsi="宋体" w:cs="宋体"/>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kern w:val="10"/>
          <w:szCs w:val="21"/>
        </w:rPr>
        <w:t>联系</w:t>
      </w:r>
      <w:r>
        <w:rPr>
          <w:rFonts w:hint="eastAsia" w:ascii="宋体" w:hAnsi="宋体" w:cs="宋体"/>
          <w:szCs w:val="21"/>
        </w:rPr>
        <w:t xml:space="preserve">电话： </w:t>
      </w:r>
    </w:p>
    <w:p>
      <w:pPr>
        <w:adjustRightInd w:val="0"/>
        <w:snapToGrid w:val="0"/>
        <w:spacing w:line="360" w:lineRule="auto"/>
        <w:rPr>
          <w:rFonts w:hint="eastAsia" w:ascii="宋体" w:hAnsi="宋体" w:cs="宋体"/>
          <w:szCs w:val="21"/>
        </w:rPr>
      </w:pPr>
      <w:r>
        <w:rPr>
          <w:rFonts w:hint="eastAsia" w:ascii="宋体" w:hAnsi="宋体" w:cs="宋体"/>
          <w:kern w:val="10"/>
          <w:szCs w:val="21"/>
        </w:rPr>
        <w:t>传真</w:t>
      </w:r>
      <w:r>
        <w:rPr>
          <w:rFonts w:hint="eastAsia" w:ascii="宋体" w:hAnsi="宋体" w:cs="宋体"/>
          <w:szCs w:val="21"/>
        </w:rPr>
        <w:t>：</w:t>
      </w:r>
    </w:p>
    <w:p>
      <w:pPr>
        <w:adjustRightInd w:val="0"/>
        <w:snapToGrid w:val="0"/>
        <w:spacing w:line="360" w:lineRule="auto"/>
        <w:rPr>
          <w:rFonts w:hint="eastAsia" w:ascii="宋体" w:hAnsi="宋体" w:cs="宋体"/>
          <w:szCs w:val="21"/>
        </w:rPr>
      </w:pPr>
      <w:r>
        <w:rPr>
          <w:rFonts w:hint="eastAsia" w:ascii="宋体" w:hAnsi="宋体" w:cs="宋体"/>
          <w:szCs w:val="21"/>
        </w:rPr>
        <w:t>E-mail：</w:t>
      </w:r>
    </w:p>
    <w:p>
      <w:pPr>
        <w:adjustRightInd w:val="0"/>
        <w:snapToGrid w:val="0"/>
        <w:spacing w:line="360" w:lineRule="auto"/>
        <w:rPr>
          <w:rFonts w:hint="eastAsia" w:ascii="宋体" w:hAnsi="宋体" w:cs="宋体"/>
          <w:kern w:val="10"/>
          <w:sz w:val="24"/>
        </w:rPr>
      </w:pPr>
      <w:r>
        <w:rPr>
          <w:rFonts w:hint="eastAsia" w:ascii="宋体" w:hAnsi="宋体" w:cs="宋体"/>
        </w:rPr>
        <w:t>日 期：</w:t>
      </w:r>
      <w:r>
        <w:rPr>
          <w:rFonts w:hint="eastAsia" w:ascii="宋体" w:hAnsi="宋体" w:cs="宋体"/>
          <w:kern w:val="10"/>
          <w:sz w:val="24"/>
        </w:rPr>
        <w:t xml:space="preserve"> </w:t>
      </w:r>
      <w:bookmarkEnd w:id="7"/>
      <w:bookmarkEnd w:id="8"/>
    </w:p>
    <w:p>
      <w:pPr>
        <w:rPr>
          <w:rFonts w:ascii="宋体" w:hAnsi="宋体" w:cs="宋体"/>
          <w:kern w:val="10"/>
          <w:sz w:val="24"/>
        </w:rPr>
      </w:pPr>
    </w:p>
    <w:p>
      <w:pPr>
        <w:pStyle w:val="2"/>
      </w:pPr>
    </w:p>
    <w:p>
      <w:pPr>
        <w:pStyle w:val="2"/>
        <w:rPr>
          <w:rFonts w:hint="eastAsia"/>
        </w:rPr>
      </w:pPr>
    </w:p>
    <w:p>
      <w:pPr>
        <w:spacing w:line="360" w:lineRule="auto"/>
        <w:rPr>
          <w:rFonts w:ascii="宋体" w:hAnsi="宋体"/>
          <w:b/>
          <w:bCs/>
          <w:color w:val="auto"/>
          <w:sz w:val="28"/>
          <w:szCs w:val="28"/>
        </w:rPr>
      </w:pPr>
      <w:r>
        <w:rPr>
          <w:rFonts w:ascii="宋体" w:hAnsi="宋体"/>
          <w:b/>
          <w:bCs/>
          <w:sz w:val="28"/>
          <w:szCs w:val="28"/>
        </w:rPr>
        <w:br w:type="page"/>
      </w:r>
      <w:r>
        <w:rPr>
          <w:rFonts w:hint="eastAsia" w:ascii="宋体" w:hAnsi="宋体"/>
          <w:b/>
          <w:bCs/>
          <w:color w:val="auto"/>
          <w:sz w:val="28"/>
          <w:szCs w:val="28"/>
        </w:rPr>
        <w:t>2</w:t>
      </w:r>
      <w:r>
        <w:rPr>
          <w:rFonts w:ascii="宋体" w:hAnsi="宋体"/>
          <w:b/>
          <w:bCs/>
          <w:color w:val="auto"/>
          <w:sz w:val="28"/>
          <w:szCs w:val="28"/>
        </w:rPr>
        <w:t>.2</w:t>
      </w:r>
      <w:r>
        <w:rPr>
          <w:rFonts w:hint="eastAsia" w:ascii="宋体" w:hAnsi="宋体"/>
          <w:b/>
          <w:bCs/>
          <w:color w:val="auto"/>
          <w:sz w:val="28"/>
          <w:szCs w:val="28"/>
        </w:rPr>
        <w:t>★条款</w:t>
      </w:r>
      <w:r>
        <w:rPr>
          <w:rFonts w:ascii="宋体" w:hAnsi="宋体"/>
          <w:b/>
          <w:bCs/>
          <w:color w:val="auto"/>
          <w:sz w:val="28"/>
          <w:szCs w:val="28"/>
        </w:rPr>
        <w:t>承诺函</w:t>
      </w:r>
      <w:r>
        <w:rPr>
          <w:rFonts w:hint="eastAsia" w:ascii="宋体" w:hAnsi="宋体"/>
          <w:b/>
          <w:bCs/>
          <w:color w:val="auto"/>
          <w:sz w:val="28"/>
          <w:szCs w:val="28"/>
        </w:rPr>
        <w:t>，必须提交</w:t>
      </w:r>
    </w:p>
    <w:p>
      <w:pPr>
        <w:adjustRightInd w:val="0"/>
        <w:snapToGrid w:val="0"/>
        <w:spacing w:line="480" w:lineRule="exact"/>
        <w:jc w:val="center"/>
        <w:rPr>
          <w:rFonts w:ascii="宋体" w:hAnsi="宋体" w:cs="华文细黑"/>
          <w:bCs/>
          <w:color w:val="auto"/>
          <w:szCs w:val="21"/>
        </w:rPr>
      </w:pPr>
    </w:p>
    <w:p>
      <w:pPr>
        <w:adjustRightInd w:val="0"/>
        <w:snapToGrid w:val="0"/>
        <w:spacing w:line="480" w:lineRule="exact"/>
        <w:jc w:val="center"/>
        <w:rPr>
          <w:rFonts w:ascii="宋体" w:hAnsi="宋体"/>
          <w:b/>
          <w:color w:val="auto"/>
          <w:kern w:val="10"/>
          <w:sz w:val="28"/>
        </w:rPr>
      </w:pPr>
      <w:r>
        <w:rPr>
          <w:rFonts w:hint="eastAsia" w:ascii="宋体" w:hAnsi="宋体" w:cs="华文细黑"/>
          <w:bCs/>
          <w:color w:val="auto"/>
          <w:szCs w:val="21"/>
        </w:rPr>
        <w:t>★</w:t>
      </w:r>
      <w:r>
        <w:rPr>
          <w:rFonts w:hint="eastAsia" w:ascii="宋体" w:hAnsi="宋体"/>
          <w:b/>
          <w:color w:val="auto"/>
          <w:kern w:val="10"/>
          <w:sz w:val="28"/>
        </w:rPr>
        <w:t xml:space="preserve"> 条 款 承 诺 函</w:t>
      </w:r>
    </w:p>
    <w:p>
      <w:pPr>
        <w:spacing w:after="120"/>
        <w:ind w:left="420" w:leftChars="200" w:firstLine="420" w:firstLineChars="200"/>
        <w:rPr>
          <w:rFonts w:ascii="Calibri" w:hAnsi="Calibri"/>
          <w:color w:val="auto"/>
        </w:rPr>
      </w:pPr>
    </w:p>
    <w:p>
      <w:pPr>
        <w:pStyle w:val="14"/>
        <w:spacing w:line="276" w:lineRule="auto"/>
        <w:ind w:right="120" w:rightChars="57"/>
        <w:jc w:val="left"/>
        <w:rPr>
          <w:rFonts w:hint="eastAsia" w:hAnsi="宋体" w:cs="宋体"/>
          <w:b/>
          <w:color w:val="auto"/>
          <w:szCs w:val="21"/>
        </w:rPr>
      </w:pPr>
      <w:r>
        <w:rPr>
          <w:rFonts w:hint="eastAsia" w:hAnsi="宋体"/>
          <w:b/>
          <w:color w:val="auto"/>
          <w:szCs w:val="21"/>
        </w:rPr>
        <w:t>致：</w:t>
      </w:r>
      <w:r>
        <w:rPr>
          <w:rFonts w:hint="eastAsia" w:hAnsi="宋体" w:cs="宋体"/>
          <w:b/>
          <w:color w:val="auto"/>
          <w:szCs w:val="21"/>
        </w:rPr>
        <w:t>广东省河源监狱工会委员会</w:t>
      </w:r>
    </w:p>
    <w:p>
      <w:pPr>
        <w:widowControl w:val="0"/>
        <w:spacing w:line="360" w:lineRule="auto"/>
        <w:ind w:right="120" w:rightChars="57"/>
        <w:rPr>
          <w:rFonts w:ascii="宋体" w:hAnsi="宋体"/>
          <w:b/>
          <w:color w:val="auto"/>
          <w:kern w:val="2"/>
          <w:szCs w:val="21"/>
        </w:rPr>
      </w:pPr>
    </w:p>
    <w:p>
      <w:pPr>
        <w:widowControl w:val="0"/>
        <w:spacing w:line="360" w:lineRule="auto"/>
        <w:ind w:right="120" w:rightChars="57" w:firstLine="420" w:firstLineChars="200"/>
        <w:jc w:val="both"/>
        <w:rPr>
          <w:rFonts w:ascii="宋体" w:hAnsi="宋体"/>
          <w:color w:val="auto"/>
          <w:kern w:val="2"/>
          <w:szCs w:val="21"/>
        </w:rPr>
      </w:pPr>
      <w:r>
        <w:rPr>
          <w:rFonts w:hint="eastAsia" w:ascii="宋体" w:hAnsi="宋体"/>
          <w:color w:val="auto"/>
          <w:kern w:val="2"/>
          <w:szCs w:val="21"/>
        </w:rPr>
        <w:t>我单位已认真仔细阅读了贵方《广东省河源监狱工会2025年会员电影券采购项目》竞价文件中带★的条款。并承诺如下：</w:t>
      </w:r>
    </w:p>
    <w:p>
      <w:pPr>
        <w:pStyle w:val="2"/>
        <w:spacing w:line="360" w:lineRule="auto"/>
        <w:ind w:left="0" w:leftChars="0"/>
        <w:jc w:val="both"/>
        <w:rPr>
          <w:color w:val="auto"/>
        </w:rPr>
      </w:pPr>
      <w:r>
        <w:rPr>
          <w:rFonts w:hint="eastAsia"/>
          <w:color w:val="auto"/>
        </w:rPr>
        <w:t>如我方成交后提供的电影券享有电影院、爱奇艺、优酷、酷我、网易云音乐、腾讯、酷狗、芒果TV、哔哩哔哩、读书会员（喜马拉雅、得到、帆书、手机知网、豆丁书房等）等不少于6个平台的会员通兑资格。</w:t>
      </w:r>
    </w:p>
    <w:p>
      <w:pPr>
        <w:adjustRightInd w:val="0"/>
        <w:snapToGrid w:val="0"/>
        <w:spacing w:line="480" w:lineRule="exact"/>
        <w:rPr>
          <w:rFonts w:ascii="宋体" w:hAnsi="宋体"/>
          <w:color w:val="auto"/>
          <w:kern w:val="10"/>
          <w:sz w:val="24"/>
        </w:rPr>
      </w:pPr>
    </w:p>
    <w:p>
      <w:pPr>
        <w:pStyle w:val="2"/>
        <w:rPr>
          <w:rFonts w:hint="eastAsia"/>
          <w:color w:val="auto"/>
        </w:rPr>
      </w:pPr>
    </w:p>
    <w:p>
      <w:pPr>
        <w:adjustRightInd w:val="0"/>
        <w:snapToGrid w:val="0"/>
        <w:spacing w:line="480" w:lineRule="exact"/>
        <w:rPr>
          <w:rFonts w:ascii="宋体" w:hAnsi="宋体"/>
          <w:color w:val="auto"/>
          <w:kern w:val="10"/>
          <w:szCs w:val="21"/>
        </w:rPr>
      </w:pPr>
      <w:r>
        <w:rPr>
          <w:rFonts w:hint="eastAsia" w:ascii="宋体" w:hAnsi="宋体"/>
          <w:color w:val="auto"/>
          <w:szCs w:val="21"/>
        </w:rPr>
        <w:t>竞价供应商名称（公章）</w:t>
      </w:r>
      <w:r>
        <w:rPr>
          <w:rFonts w:hint="eastAsia" w:ascii="宋体" w:hAnsi="宋体"/>
          <w:color w:val="auto"/>
          <w:kern w:val="10"/>
          <w:szCs w:val="21"/>
        </w:rPr>
        <w:t xml:space="preserve">： </w:t>
      </w:r>
    </w:p>
    <w:p>
      <w:pPr>
        <w:adjustRightInd w:val="0"/>
        <w:snapToGrid w:val="0"/>
        <w:spacing w:line="480" w:lineRule="exact"/>
        <w:rPr>
          <w:rFonts w:ascii="宋体" w:hAnsi="宋体"/>
          <w:color w:val="auto"/>
          <w:szCs w:val="21"/>
        </w:rPr>
      </w:pPr>
      <w:r>
        <w:rPr>
          <w:rFonts w:hint="eastAsia" w:ascii="宋体" w:hAnsi="宋体"/>
          <w:color w:val="auto"/>
          <w:kern w:val="10"/>
          <w:szCs w:val="21"/>
        </w:rPr>
        <w:t>法定代表人或法定代表人授权代表签字</w:t>
      </w:r>
      <w:r>
        <w:rPr>
          <w:rFonts w:hint="eastAsia" w:ascii="宋体" w:hAnsi="宋体"/>
          <w:color w:val="auto"/>
          <w:szCs w:val="21"/>
        </w:rPr>
        <w:t xml:space="preserve">： </w:t>
      </w:r>
    </w:p>
    <w:p>
      <w:pPr>
        <w:adjustRightInd w:val="0"/>
        <w:snapToGrid w:val="0"/>
        <w:spacing w:line="480" w:lineRule="exact"/>
        <w:rPr>
          <w:rFonts w:ascii="宋体" w:hAnsi="宋体"/>
          <w:color w:val="auto"/>
        </w:rPr>
      </w:pPr>
      <w:r>
        <w:rPr>
          <w:rFonts w:hint="eastAsia" w:ascii="宋体" w:hAnsi="宋体"/>
          <w:color w:val="auto"/>
        </w:rPr>
        <w:t>日 期：</w:t>
      </w:r>
    </w:p>
    <w:p>
      <w:pPr>
        <w:rPr>
          <w:rFonts w:ascii="宋体" w:hAnsi="宋体" w:cs="宋体"/>
          <w:color w:val="auto"/>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pStyle w:val="2"/>
        <w:rPr>
          <w:rFonts w:hint="eastAsia"/>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ascii="宋体" w:hAnsi="宋体" w:cs="宋体"/>
          <w:kern w:val="10"/>
          <w:sz w:val="24"/>
        </w:rPr>
      </w:pPr>
    </w:p>
    <w:p>
      <w:pPr>
        <w:rPr>
          <w:rFonts w:hint="eastAsia" w:ascii="宋体" w:hAnsi="宋体" w:cs="宋体"/>
          <w:kern w:val="10"/>
          <w:sz w:val="24"/>
        </w:rPr>
      </w:pPr>
    </w:p>
    <w:p>
      <w:pPr>
        <w:rPr>
          <w:rFonts w:hint="eastAsia" w:ascii="宋体" w:hAnsi="宋体" w:cs="宋体"/>
          <w:kern w:val="10"/>
          <w:sz w:val="24"/>
        </w:rPr>
      </w:pP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nK/a1wAAAAkBAAAPAAAAAAAAAAEAIAAAACIAAABkcnMvZG93bnJldi54bWxQSwECFAAU&#10;AAAACACHTuJASC4F+PIBAAACBAAADgAAAAAAAAABACAAAAAm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spacing w:line="360" w:lineRule="auto"/>
        <w:rPr>
          <w:rFonts w:hint="eastAsia" w:ascii="宋体" w:hAnsi="宋体" w:cs="宋体"/>
          <w:szCs w:val="21"/>
        </w:rPr>
      </w:pPr>
    </w:p>
    <w:p>
      <w:pPr>
        <w:pStyle w:val="12"/>
        <w:rPr>
          <w:rFonts w:hint="eastAsia" w:ascii="宋体" w:hAnsi="宋体" w:cs="宋体"/>
          <w:kern w:val="2"/>
          <w:szCs w:val="21"/>
        </w:rPr>
      </w:pPr>
    </w:p>
    <w:p>
      <w:pPr>
        <w:adjustRightInd w:val="0"/>
        <w:snapToGrid w:val="0"/>
        <w:spacing w:line="380" w:lineRule="exact"/>
        <w:rPr>
          <w:rFonts w:hint="eastAsia" w:ascii="宋体" w:hAnsi="宋体" w:cs="宋体"/>
          <w:b/>
          <w:bCs/>
          <w:sz w:val="32"/>
          <w:szCs w:val="32"/>
        </w:rPr>
      </w:pPr>
      <w:r>
        <w:rPr>
          <w:rFonts w:hint="eastAsia" w:ascii="宋体" w:hAnsi="宋体" w:cs="宋体"/>
          <w:b/>
          <w:bCs/>
          <w:sz w:val="32"/>
          <w:szCs w:val="32"/>
        </w:rPr>
        <w:t>4.竞价保证金</w:t>
      </w:r>
    </w:p>
    <w:p>
      <w:pPr>
        <w:keepNext/>
        <w:keepLines/>
        <w:tabs>
          <w:tab w:val="left" w:pos="1006"/>
        </w:tabs>
        <w:spacing w:line="360" w:lineRule="auto"/>
        <w:outlineLvl w:val="3"/>
        <w:rPr>
          <w:rFonts w:hint="eastAsia" w:ascii="宋体" w:hAnsi="宋体" w:cs="宋体"/>
          <w:b/>
          <w:bCs/>
          <w:sz w:val="28"/>
          <w:szCs w:val="28"/>
        </w:rPr>
      </w:pPr>
      <w:r>
        <w:rPr>
          <w:rFonts w:hint="eastAsia" w:ascii="宋体" w:hAnsi="宋体" w:cs="宋体"/>
          <w:b/>
          <w:bCs/>
          <w:sz w:val="28"/>
          <w:szCs w:val="28"/>
        </w:rPr>
        <w:t>4.1以电汇、银行转账形式交纳保证金</w:t>
      </w:r>
    </w:p>
    <w:p>
      <w:pPr>
        <w:spacing w:line="360" w:lineRule="auto"/>
        <w:rPr>
          <w:rFonts w:hint="eastAsia" w:ascii="宋体" w:hAnsi="宋体" w:cs="宋体"/>
          <w:b/>
          <w:sz w:val="24"/>
        </w:rPr>
      </w:pPr>
      <w:r>
        <w:rPr>
          <w:rFonts w:hint="eastAsia" w:ascii="宋体" w:hAnsi="宋体" w:cs="宋体"/>
          <w:b/>
          <w:sz w:val="24"/>
        </w:rPr>
        <w:t>（1）竞价保证金交纳凭证</w:t>
      </w:r>
    </w:p>
    <w:p>
      <w:pPr>
        <w:spacing w:line="360" w:lineRule="auto"/>
        <w:ind w:left="210" w:leftChars="100" w:firstLine="420" w:firstLineChars="200"/>
        <w:rPr>
          <w:rFonts w:hint="eastAsia" w:ascii="宋体" w:hAnsi="宋体" w:cs="宋体"/>
        </w:rPr>
      </w:pPr>
    </w:p>
    <w:p>
      <w:pPr>
        <w:spacing w:line="360" w:lineRule="auto"/>
        <w:rPr>
          <w:rFonts w:hint="eastAsia" w:ascii="宋体" w:hAnsi="宋体" w:cs="宋体"/>
          <w:szCs w:val="21"/>
        </w:rPr>
      </w:pPr>
      <w:r>
        <w:rPr>
          <w:rFonts w:hint="eastAsia" w:ascii="宋体" w:hAnsi="宋体" w:cs="宋体"/>
          <w:b/>
          <w:szCs w:val="21"/>
        </w:rPr>
        <w:t>致：广州顺为招标采购有限公司</w:t>
      </w:r>
    </w:p>
    <w:p>
      <w:pPr>
        <w:spacing w:line="360" w:lineRule="auto"/>
        <w:rPr>
          <w:rFonts w:hint="eastAsia" w:ascii="宋体" w:hAnsi="宋体" w:cs="宋体"/>
          <w:szCs w:val="21"/>
        </w:rPr>
      </w:pPr>
      <w:r>
        <w:rPr>
          <w:rFonts w:hint="eastAsia" w:ascii="宋体" w:hAnsi="宋体" w:cs="宋体"/>
          <w:szCs w:val="21"/>
          <w:u w:val="single"/>
        </w:rPr>
        <w:t xml:space="preserve">（响应供应商全称) </w:t>
      </w:r>
      <w:r>
        <w:rPr>
          <w:rFonts w:hint="eastAsia" w:ascii="宋体" w:hAnsi="宋体" w:cs="宋体"/>
          <w:szCs w:val="21"/>
        </w:rPr>
        <w:t>参加贵方组织的、竞价文件编号为的采购活动。按竞价文件的规定，已通过（</w:t>
      </w:r>
      <w:r>
        <w:rPr>
          <w:rFonts w:hint="eastAsia" w:ascii="宋体" w:hAnsi="宋体" w:cs="宋体"/>
          <w:szCs w:val="21"/>
          <w:u w:val="single"/>
        </w:rPr>
        <w:t>转账、银行汇款</w:t>
      </w:r>
      <w:r>
        <w:rPr>
          <w:rFonts w:hint="eastAsia" w:ascii="宋体" w:hAnsi="宋体" w:cs="宋体"/>
          <w:szCs w:val="21"/>
        </w:rPr>
        <w:t>）形式交纳人民币</w:t>
      </w:r>
      <w:r>
        <w:rPr>
          <w:rFonts w:hint="eastAsia" w:ascii="宋体" w:hAnsi="宋体" w:cs="宋体"/>
          <w:szCs w:val="21"/>
          <w:u w:val="single"/>
        </w:rPr>
        <w:t xml:space="preserve">（大写）  　　  </w:t>
      </w:r>
      <w:r>
        <w:rPr>
          <w:rFonts w:hint="eastAsia" w:ascii="宋体" w:hAnsi="宋体" w:cs="宋体"/>
          <w:szCs w:val="21"/>
        </w:rPr>
        <w:t>元的报价保证金。</w:t>
      </w:r>
    </w:p>
    <w:p>
      <w:pPr>
        <w:spacing w:line="360" w:lineRule="auto"/>
        <w:rPr>
          <w:rFonts w:hint="eastAsia" w:ascii="宋体" w:hAnsi="宋体" w:cs="宋体"/>
          <w:szCs w:val="21"/>
        </w:rPr>
      </w:pPr>
      <w:r>
        <w:rPr>
          <w:rFonts w:hint="eastAsia" w:ascii="宋体" w:hAnsi="宋体" w:cs="宋体"/>
          <w:szCs w:val="21"/>
        </w:rPr>
        <w:t xml:space="preserve">附： </w:t>
      </w:r>
    </w:p>
    <w:tbl>
      <w:tblPr>
        <w:tblStyle w:val="28"/>
        <w:tblW w:w="928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4" w:hRule="atLeast"/>
        </w:trPr>
        <w:tc>
          <w:tcPr>
            <w:tcW w:w="9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粘贴转账或汇款的银行凭证复印件</w:t>
            </w:r>
          </w:p>
        </w:tc>
      </w:tr>
    </w:tbl>
    <w:p>
      <w:pPr>
        <w:spacing w:line="360" w:lineRule="auto"/>
        <w:rPr>
          <w:rFonts w:hint="eastAsia" w:ascii="宋体" w:hAnsi="宋体" w:cs="宋体"/>
          <w:szCs w:val="21"/>
        </w:rPr>
      </w:pPr>
      <w:r>
        <w:rPr>
          <w:rFonts w:hint="eastAsia" w:ascii="宋体" w:hAnsi="宋体" w:cs="宋体"/>
        </w:rPr>
        <w:t>如：报价单位保证金由其他单位代缴的,代缴单位在缴交保证金的同时应提交盖有代缴单位和竞价供应商公章的证明。</w:t>
      </w:r>
    </w:p>
    <w:p>
      <w:pPr>
        <w:adjustRightInd w:val="0"/>
        <w:snapToGrid w:val="0"/>
        <w:spacing w:line="360" w:lineRule="auto"/>
        <w:rPr>
          <w:rFonts w:hint="eastAsia" w:ascii="宋体" w:hAnsi="宋体" w:cs="宋体"/>
          <w:szCs w:val="21"/>
        </w:rPr>
      </w:pP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竞价供应商法定代表人（或法定代表人授权代表）签字：</w:t>
      </w: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竞价供应商名称（盖章）：</w:t>
      </w:r>
    </w:p>
    <w:p>
      <w:pPr>
        <w:adjustRightInd w:val="0"/>
        <w:snapToGrid w:val="0"/>
        <w:spacing w:line="360" w:lineRule="auto"/>
        <w:ind w:firstLine="315" w:firstLineChars="150"/>
        <w:rPr>
          <w:rFonts w:hint="eastAsia" w:ascii="宋体" w:hAnsi="宋体" w:cs="宋体"/>
          <w:szCs w:val="21"/>
          <w:u w:val="single"/>
        </w:rPr>
      </w:pPr>
      <w:r>
        <w:rPr>
          <w:rFonts w:hint="eastAsia" w:ascii="宋体" w:hAnsi="宋体" w:cs="宋体"/>
          <w:szCs w:val="21"/>
        </w:rPr>
        <w:t>日期：   年   月   日</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注：1、竞价供应商报价时，应当按竞价文件要求交纳报价保证金。竞价保证金可以采用转账、银行汇款的形式交纳。</w:t>
      </w:r>
    </w:p>
    <w:p>
      <w:pPr>
        <w:spacing w:line="360" w:lineRule="auto"/>
        <w:rPr>
          <w:rFonts w:hint="eastAsia" w:ascii="宋体" w:hAnsi="宋体" w:cs="宋体"/>
          <w:szCs w:val="21"/>
        </w:rPr>
      </w:pPr>
      <w:r>
        <w:rPr>
          <w:rFonts w:hint="eastAsia" w:ascii="宋体" w:hAnsi="宋体" w:cs="宋体"/>
          <w:szCs w:val="21"/>
        </w:rPr>
        <w:t>2、采购代理机构在成交通知书发出后五个工作日内退还未成交供应商的竞价保证金，在采购合同签订后五个工作日内退还成交供应商的竞价保证金。</w:t>
      </w:r>
    </w:p>
    <w:p>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napToGrid w:val="0"/>
          <w:szCs w:val="21"/>
        </w:rPr>
        <w:t>竞价保证金一律退还至竞价供应商</w:t>
      </w:r>
      <w:r>
        <w:rPr>
          <w:rFonts w:hint="eastAsia" w:ascii="宋体" w:hAnsi="宋体" w:cs="宋体"/>
          <w:b/>
          <w:snapToGrid w:val="0"/>
          <w:szCs w:val="21"/>
          <w:u w:val="single"/>
        </w:rPr>
        <w:t>对公账户</w:t>
      </w:r>
      <w:r>
        <w:rPr>
          <w:rFonts w:hint="eastAsia" w:ascii="宋体" w:hAnsi="宋体" w:cs="宋体"/>
          <w:snapToGrid w:val="0"/>
          <w:szCs w:val="21"/>
        </w:rPr>
        <w:t>，供应商应准确填写下表《退保证说明》，以免影响保证金退还。</w:t>
      </w:r>
    </w:p>
    <w:p>
      <w:pPr>
        <w:spacing w:line="360" w:lineRule="auto"/>
        <w:rPr>
          <w:rFonts w:hint="eastAsia" w:ascii="宋体" w:hAnsi="宋体" w:cs="宋体"/>
          <w:szCs w:val="21"/>
        </w:rPr>
      </w:pPr>
    </w:p>
    <w:p>
      <w:pPr>
        <w:spacing w:line="480" w:lineRule="exact"/>
        <w:rPr>
          <w:rFonts w:hint="eastAsia" w:ascii="宋体" w:hAnsi="宋体" w:cs="宋体"/>
          <w:b/>
          <w:sz w:val="24"/>
        </w:rPr>
      </w:pPr>
      <w:r>
        <w:rPr>
          <w:rFonts w:hint="eastAsia" w:ascii="宋体" w:hAnsi="宋体" w:cs="宋体"/>
          <w:szCs w:val="21"/>
        </w:rPr>
        <w:br w:type="page"/>
      </w:r>
      <w:r>
        <w:rPr>
          <w:rFonts w:hint="eastAsia" w:ascii="宋体" w:hAnsi="宋体" w:cs="宋体"/>
          <w:b/>
          <w:sz w:val="24"/>
        </w:rPr>
        <w:t>（2）退保证金说明</w:t>
      </w:r>
    </w:p>
    <w:p>
      <w:pPr>
        <w:spacing w:line="480" w:lineRule="exact"/>
        <w:rPr>
          <w:rFonts w:hint="eastAsia" w:ascii="宋体" w:hAnsi="宋体" w:cs="宋体"/>
        </w:rPr>
      </w:pPr>
      <w:r>
        <w:rPr>
          <w:rFonts w:hint="eastAsia" w:ascii="宋体" w:hAnsi="宋体" w:cs="宋体"/>
        </w:rPr>
        <w:t>致：广州顺为招标采购有限公司</w:t>
      </w:r>
    </w:p>
    <w:p>
      <w:pPr>
        <w:spacing w:line="480" w:lineRule="exact"/>
        <w:ind w:firstLine="420"/>
        <w:rPr>
          <w:rFonts w:hint="eastAsia" w:ascii="宋体" w:hAnsi="宋体" w:cs="宋体"/>
        </w:rPr>
      </w:pPr>
      <w:r>
        <w:rPr>
          <w:rFonts w:hint="eastAsia" w:ascii="宋体" w:hAnsi="宋体" w:cs="宋体"/>
        </w:rPr>
        <w:t>我方为</w:t>
      </w:r>
      <w:r>
        <w:rPr>
          <w:rFonts w:hint="eastAsia" w:ascii="宋体" w:hAnsi="宋体" w:cs="宋体"/>
          <w:u w:val="single"/>
        </w:rPr>
        <w:t xml:space="preserve">         （项目名称）          </w:t>
      </w:r>
      <w:r>
        <w:rPr>
          <w:rFonts w:hint="eastAsia" w:ascii="宋体" w:hAnsi="宋体" w:cs="宋体"/>
        </w:rPr>
        <w:t>报价[竞价文件编号为：     ]所提交的保证金元，请贵公司退还时划到以下账户：</w:t>
      </w:r>
    </w:p>
    <w:tbl>
      <w:tblPr>
        <w:tblStyle w:val="28"/>
        <w:tblW w:w="9515" w:type="dxa"/>
        <w:tblInd w:w="0" w:type="dxa"/>
        <w:tblLayout w:type="fixed"/>
        <w:tblCellMar>
          <w:top w:w="0" w:type="dxa"/>
          <w:left w:w="108" w:type="dxa"/>
          <w:bottom w:w="0" w:type="dxa"/>
          <w:right w:w="108" w:type="dxa"/>
        </w:tblCellMar>
      </w:tblPr>
      <w:tblGrid>
        <w:gridCol w:w="559"/>
        <w:gridCol w:w="1692"/>
        <w:gridCol w:w="3540"/>
        <w:gridCol w:w="1117"/>
        <w:gridCol w:w="2607"/>
      </w:tblGrid>
      <w:tr>
        <w:tblPrEx>
          <w:tblLayout w:type="fixed"/>
          <w:tblCellMar>
            <w:top w:w="0" w:type="dxa"/>
            <w:left w:w="108" w:type="dxa"/>
            <w:bottom w:w="0" w:type="dxa"/>
            <w:right w:w="108" w:type="dxa"/>
          </w:tblCellMar>
        </w:tblPrEx>
        <w:trPr>
          <w:cantSplit/>
          <w:trHeight w:val="529"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收款单位</w:t>
            </w:r>
          </w:p>
        </w:tc>
        <w:tc>
          <w:tcPr>
            <w:tcW w:w="1692"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收款单位名称</w:t>
            </w:r>
          </w:p>
        </w:tc>
        <w:tc>
          <w:tcPr>
            <w:tcW w:w="7264"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49"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69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收款单位地址</w:t>
            </w:r>
          </w:p>
        </w:tc>
        <w:tc>
          <w:tcPr>
            <w:tcW w:w="7264" w:type="dxa"/>
            <w:gridSpan w:val="3"/>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cantSplit/>
          <w:trHeight w:val="439"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p>
        </w:tc>
        <w:tc>
          <w:tcPr>
            <w:tcW w:w="169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开 户 银 行</w:t>
            </w:r>
          </w:p>
        </w:tc>
        <w:tc>
          <w:tcPr>
            <w:tcW w:w="3540"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c>
          <w:tcPr>
            <w:tcW w:w="111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联 系 人</w:t>
            </w:r>
          </w:p>
        </w:tc>
        <w:tc>
          <w:tcPr>
            <w:tcW w:w="2607" w:type="dxa"/>
            <w:tcBorders>
              <w:top w:val="nil"/>
              <w:left w:val="nil"/>
              <w:bottom w:val="single" w:color="auto" w:sz="4" w:space="0"/>
              <w:right w:val="single" w:color="auto"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490" w:hRule="atLeast"/>
        </w:trPr>
        <w:tc>
          <w:tcPr>
            <w:tcW w:w="55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692"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账       号</w:t>
            </w:r>
          </w:p>
        </w:tc>
        <w:tc>
          <w:tcPr>
            <w:tcW w:w="3540"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c>
          <w:tcPr>
            <w:tcW w:w="1117"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联系电话</w:t>
            </w:r>
          </w:p>
        </w:tc>
        <w:tc>
          <w:tcPr>
            <w:tcW w:w="2607" w:type="dxa"/>
            <w:tcBorders>
              <w:top w:val="single" w:color="auto" w:sz="4" w:space="0"/>
              <w:left w:val="nil"/>
              <w:bottom w:val="single" w:color="auto" w:sz="4" w:space="0"/>
              <w:right w:val="single" w:color="auto" w:sz="4" w:space="0"/>
            </w:tcBorders>
            <w:vAlign w:val="center"/>
          </w:tcPr>
          <w:p>
            <w:pPr>
              <w:rPr>
                <w:rFonts w:hint="eastAsia" w:ascii="宋体" w:hAnsi="宋体" w:cs="宋体"/>
                <w:szCs w:val="21"/>
              </w:rPr>
            </w:pPr>
          </w:p>
        </w:tc>
      </w:tr>
    </w:tbl>
    <w:p>
      <w:pPr>
        <w:tabs>
          <w:tab w:val="left" w:pos="676"/>
          <w:tab w:val="left" w:pos="2330"/>
          <w:tab w:val="left" w:pos="9230"/>
        </w:tabs>
        <w:autoSpaceDE w:val="0"/>
        <w:autoSpaceDN w:val="0"/>
        <w:adjustRightInd w:val="0"/>
        <w:spacing w:line="480" w:lineRule="exact"/>
        <w:ind w:left="4700" w:leftChars="2238"/>
        <w:rPr>
          <w:rFonts w:hint="eastAsia" w:ascii="宋体" w:hAnsi="宋体" w:cs="宋体"/>
        </w:rPr>
      </w:pPr>
      <w:r>
        <w:rPr>
          <w:rFonts w:hint="eastAsia" w:ascii="宋体" w:hAnsi="宋体" w:cs="宋体"/>
        </w:rPr>
        <w:t>响应供应商（公章）：</w:t>
      </w:r>
    </w:p>
    <w:p>
      <w:pPr>
        <w:widowControl w:val="0"/>
        <w:spacing w:line="480" w:lineRule="exact"/>
        <w:ind w:left="4700" w:leftChars="2238"/>
        <w:jc w:val="both"/>
        <w:rPr>
          <w:rFonts w:hint="eastAsia" w:ascii="宋体" w:hAnsi="宋体" w:cs="宋体"/>
          <w:kern w:val="2"/>
        </w:rPr>
      </w:pPr>
      <w:r>
        <w:rPr>
          <w:rFonts w:hint="eastAsia" w:ascii="宋体" w:hAnsi="宋体" w:cs="宋体"/>
          <w:kern w:val="2"/>
        </w:rPr>
        <w:t>日       期：</w:t>
      </w:r>
    </w:p>
    <w:p>
      <w:pPr>
        <w:widowControl w:val="0"/>
        <w:spacing w:line="480" w:lineRule="exact"/>
        <w:jc w:val="both"/>
        <w:rPr>
          <w:rFonts w:hint="eastAsia" w:ascii="宋体" w:hAnsi="宋体" w:cs="宋体"/>
          <w:kern w:val="2"/>
        </w:rPr>
      </w:pPr>
      <w:r>
        <w:rPr>
          <w:rFonts w:hint="eastAsia" w:ascii="宋体" w:hAnsi="宋体" w:cs="宋体"/>
          <w:kern w:val="2"/>
          <w:u w:val="single"/>
        </w:rPr>
        <w:t xml:space="preserve">（ 以下内容由采购代理机构填写，响应供应商须保留下表 ）                                </w:t>
      </w:r>
    </w:p>
    <w:tbl>
      <w:tblPr>
        <w:tblStyle w:val="28"/>
        <w:tblW w:w="9530" w:type="dxa"/>
        <w:tblInd w:w="-15" w:type="dxa"/>
        <w:tblLayout w:type="fixed"/>
        <w:tblCellMar>
          <w:top w:w="0" w:type="dxa"/>
          <w:left w:w="108" w:type="dxa"/>
          <w:bottom w:w="0" w:type="dxa"/>
          <w:right w:w="108" w:type="dxa"/>
        </w:tblCellMar>
      </w:tblPr>
      <w:tblGrid>
        <w:gridCol w:w="9530"/>
      </w:tblGrid>
      <w:tr>
        <w:tblPrEx>
          <w:tblLayout w:type="fixed"/>
          <w:tblCellMar>
            <w:top w:w="0" w:type="dxa"/>
            <w:left w:w="108" w:type="dxa"/>
            <w:bottom w:w="0" w:type="dxa"/>
            <w:right w:w="108" w:type="dxa"/>
          </w:tblCellMar>
        </w:tblPrEx>
        <w:trPr>
          <w:trHeight w:val="855" w:hRule="atLeast"/>
        </w:trPr>
        <w:tc>
          <w:tcPr>
            <w:tcW w:w="9530" w:type="dxa"/>
            <w:vAlign w:val="center"/>
          </w:tcPr>
          <w:p>
            <w:pPr>
              <w:jc w:val="center"/>
              <w:rPr>
                <w:rFonts w:hint="eastAsia" w:ascii="宋体" w:hAnsi="宋体" w:cs="宋体"/>
                <w:b/>
                <w:bCs/>
                <w:sz w:val="32"/>
                <w:szCs w:val="32"/>
              </w:rPr>
            </w:pPr>
            <w:r>
              <w:rPr>
                <w:rFonts w:hint="eastAsia" w:ascii="宋体" w:hAnsi="宋体" w:cs="宋体"/>
                <w:b/>
                <w:bCs/>
                <w:sz w:val="32"/>
                <w:szCs w:val="32"/>
              </w:rPr>
              <w:t>付款申请表</w:t>
            </w:r>
          </w:p>
          <w:tbl>
            <w:tblPr>
              <w:tblStyle w:val="28"/>
              <w:tblW w:w="9356" w:type="dxa"/>
              <w:tblInd w:w="0" w:type="dxa"/>
              <w:tblLayout w:type="fixed"/>
              <w:tblCellMar>
                <w:top w:w="0" w:type="dxa"/>
                <w:left w:w="108" w:type="dxa"/>
                <w:bottom w:w="0" w:type="dxa"/>
                <w:right w:w="108" w:type="dxa"/>
              </w:tblCellMar>
            </w:tblPr>
            <w:tblGrid>
              <w:gridCol w:w="1117"/>
              <w:gridCol w:w="1512"/>
              <w:gridCol w:w="1527"/>
              <w:gridCol w:w="1319"/>
              <w:gridCol w:w="719"/>
              <w:gridCol w:w="3162"/>
            </w:tblGrid>
            <w:tr>
              <w:tblPrEx>
                <w:tblLayout w:type="fixed"/>
              </w:tblPrEx>
              <w:trPr>
                <w:cantSplit/>
                <w:trHeight w:val="335" w:hRule="atLeast"/>
              </w:trPr>
              <w:tc>
                <w:tcPr>
                  <w:tcW w:w="111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付款内容</w:t>
                  </w:r>
                </w:p>
              </w:tc>
              <w:tc>
                <w:tcPr>
                  <w:tcW w:w="1512" w:type="dxa"/>
                  <w:tcBorders>
                    <w:top w:val="single" w:color="auto" w:sz="4" w:space="0"/>
                    <w:left w:val="nil"/>
                    <w:bottom w:val="nil"/>
                    <w:right w:val="single" w:color="auto" w:sz="4" w:space="0"/>
                  </w:tcBorders>
                  <w:vAlign w:val="center"/>
                </w:tcPr>
                <w:p>
                  <w:pPr>
                    <w:rPr>
                      <w:rFonts w:hint="eastAsia" w:ascii="宋体" w:hAnsi="宋体" w:cs="宋体"/>
                      <w:szCs w:val="21"/>
                    </w:rPr>
                  </w:pPr>
                  <w:r>
                    <w:rPr>
                      <w:rFonts w:hint="eastAsia" w:ascii="宋体" w:hAnsi="宋体" w:cs="宋体"/>
                      <w:szCs w:val="21"/>
                    </w:rPr>
                    <w:t>付款金额：</w:t>
                  </w:r>
                </w:p>
              </w:tc>
              <w:tc>
                <w:tcPr>
                  <w:tcW w:w="3565" w:type="dxa"/>
                  <w:gridSpan w:val="3"/>
                  <w:tcBorders>
                    <w:top w:val="single" w:color="auto" w:sz="4" w:space="0"/>
                    <w:left w:val="nil"/>
                    <w:bottom w:val="single" w:color="auto" w:sz="4" w:space="0"/>
                    <w:right w:val="single" w:color="auto" w:sz="4" w:space="0"/>
                  </w:tcBorders>
                  <w:vAlign w:val="center"/>
                </w:tcPr>
                <w:p>
                  <w:pPr>
                    <w:ind w:firstLine="2940" w:firstLineChars="1400"/>
                    <w:rPr>
                      <w:rFonts w:hint="eastAsia" w:ascii="宋体" w:hAnsi="宋体" w:cs="宋体"/>
                      <w:szCs w:val="21"/>
                    </w:rPr>
                  </w:pPr>
                  <w:r>
                    <w:rPr>
                      <w:rFonts w:hint="eastAsia" w:ascii="宋体" w:hAnsi="宋体" w:cs="宋体"/>
                      <w:szCs w:val="21"/>
                    </w:rPr>
                    <w:t>元</w:t>
                  </w:r>
                </w:p>
              </w:tc>
              <w:tc>
                <w:tcPr>
                  <w:tcW w:w="3162" w:type="dxa"/>
                  <w:tcBorders>
                    <w:top w:val="single" w:color="auto" w:sz="4" w:space="0"/>
                    <w:left w:val="single" w:color="auto" w:sz="4" w:space="0"/>
                    <w:bottom w:val="single" w:color="auto" w:sz="4" w:space="0"/>
                    <w:right w:val="single" w:color="000000" w:sz="4" w:space="0"/>
                  </w:tcBorders>
                  <w:vAlign w:val="center"/>
                </w:tcPr>
                <w:p>
                  <w:pPr>
                    <w:ind w:firstLine="630" w:firstLineChars="300"/>
                    <w:rPr>
                      <w:rFonts w:hint="eastAsia" w:ascii="宋体" w:hAnsi="宋体" w:cs="宋体"/>
                      <w:szCs w:val="21"/>
                    </w:rPr>
                  </w:pPr>
                  <w:r>
                    <w:rPr>
                      <w:rFonts w:hint="eastAsia" w:ascii="宋体" w:hAnsi="宋体" w:cs="宋体"/>
                      <w:szCs w:val="21"/>
                    </w:rPr>
                    <w:t>￥</w:t>
                  </w:r>
                </w:p>
              </w:tc>
            </w:tr>
            <w:tr>
              <w:tblPrEx>
                <w:tblLayout w:type="fixed"/>
                <w:tblCellMar>
                  <w:top w:w="0" w:type="dxa"/>
                  <w:left w:w="108" w:type="dxa"/>
                  <w:bottom w:w="0" w:type="dxa"/>
                  <w:right w:w="108" w:type="dxa"/>
                </w:tblCellMar>
              </w:tblPrEx>
              <w:trPr>
                <w:cantSplit/>
                <w:trHeight w:val="311"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tcBorders>
                    <w:top w:val="nil"/>
                    <w:left w:val="nil"/>
                    <w:bottom w:val="single" w:color="auto" w:sz="4" w:space="0"/>
                    <w:right w:val="nil"/>
                  </w:tcBorders>
                  <w:vAlign w:val="center"/>
                </w:tcPr>
                <w:p>
                  <w:pPr>
                    <w:rPr>
                      <w:rFonts w:hint="eastAsia" w:ascii="宋体" w:hAnsi="宋体" w:cs="宋体"/>
                      <w:szCs w:val="21"/>
                    </w:rPr>
                  </w:pPr>
                  <w:r>
                    <w:rPr>
                      <w:rFonts w:hint="eastAsia" w:ascii="宋体" w:hAnsi="宋体" w:cs="宋体"/>
                      <w:szCs w:val="21"/>
                    </w:rPr>
                    <w:t>已付金额：</w:t>
                  </w:r>
                </w:p>
              </w:tc>
              <w:tc>
                <w:tcPr>
                  <w:tcW w:w="3565" w:type="dxa"/>
                  <w:gridSpan w:val="3"/>
                  <w:tcBorders>
                    <w:top w:val="single" w:color="auto" w:sz="4" w:space="0"/>
                    <w:left w:val="single" w:color="auto" w:sz="4" w:space="0"/>
                    <w:bottom w:val="single" w:color="auto" w:sz="4" w:space="0"/>
                    <w:right w:val="single" w:color="auto" w:sz="4" w:space="0"/>
                  </w:tcBorders>
                  <w:vAlign w:val="center"/>
                </w:tcPr>
                <w:p>
                  <w:pPr>
                    <w:ind w:firstLine="2940" w:firstLineChars="1400"/>
                    <w:rPr>
                      <w:rFonts w:hint="eastAsia" w:ascii="宋体" w:hAnsi="宋体" w:cs="宋体"/>
                      <w:szCs w:val="21"/>
                    </w:rPr>
                  </w:pPr>
                  <w:r>
                    <w:rPr>
                      <w:rFonts w:hint="eastAsia" w:ascii="宋体" w:hAnsi="宋体" w:cs="宋体"/>
                      <w:szCs w:val="21"/>
                    </w:rPr>
                    <w:t>元</w:t>
                  </w:r>
                </w:p>
              </w:tc>
              <w:tc>
                <w:tcPr>
                  <w:tcW w:w="3162" w:type="dxa"/>
                  <w:tcBorders>
                    <w:top w:val="nil"/>
                    <w:left w:val="nil"/>
                    <w:bottom w:val="single" w:color="auto" w:sz="4" w:space="0"/>
                    <w:right w:val="single" w:color="auto" w:sz="4" w:space="0"/>
                  </w:tcBorders>
                  <w:vAlign w:val="center"/>
                </w:tcPr>
                <w:p>
                  <w:pPr>
                    <w:ind w:firstLine="630" w:firstLineChars="300"/>
                    <w:rPr>
                      <w:rFonts w:hint="eastAsia" w:ascii="宋体" w:hAns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cantSplit/>
                <w:trHeight w:val="263"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szCs w:val="21"/>
                    </w:rPr>
                  </w:pPr>
                  <w:r>
                    <w:rPr>
                      <w:rFonts w:hint="eastAsia" w:ascii="宋体" w:hAnsi="宋体" w:cs="宋体"/>
                      <w:szCs w:val="21"/>
                    </w:rPr>
                    <w:t>付款方式：</w:t>
                  </w:r>
                </w:p>
              </w:tc>
              <w:tc>
                <w:tcPr>
                  <w:tcW w:w="152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1.现金；</w:t>
                  </w:r>
                </w:p>
              </w:tc>
              <w:tc>
                <w:tcPr>
                  <w:tcW w:w="1319"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2.支票；</w:t>
                  </w:r>
                </w:p>
              </w:tc>
              <w:tc>
                <w:tcPr>
                  <w:tcW w:w="3881" w:type="dxa"/>
                  <w:gridSpan w:val="2"/>
                  <w:tcBorders>
                    <w:top w:val="nil"/>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 xml:space="preserve"> 3.转账；</w:t>
                  </w:r>
                </w:p>
              </w:tc>
            </w:tr>
            <w:tr>
              <w:tblPrEx>
                <w:tblLayout w:type="fixed"/>
                <w:tblCellMar>
                  <w:top w:w="0" w:type="dxa"/>
                  <w:left w:w="108" w:type="dxa"/>
                  <w:bottom w:w="0" w:type="dxa"/>
                  <w:right w:w="108" w:type="dxa"/>
                </w:tblCellMar>
              </w:tblPrEx>
              <w:trPr>
                <w:cantSplit/>
                <w:trHeight w:val="297"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27"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4.保函；</w:t>
                  </w: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5.其它（电汇）；</w:t>
                  </w:r>
                </w:p>
              </w:tc>
            </w:tr>
            <w:tr>
              <w:tblPrEx>
                <w:tblLayout w:type="fixed"/>
                <w:tblCellMar>
                  <w:top w:w="0" w:type="dxa"/>
                  <w:left w:w="108" w:type="dxa"/>
                  <w:bottom w:w="0" w:type="dxa"/>
                  <w:right w:w="108" w:type="dxa"/>
                </w:tblCellMar>
              </w:tblPrEx>
              <w:trPr>
                <w:cantSplit/>
                <w:trHeight w:val="287"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1512" w:type="dxa"/>
                  <w:tcBorders>
                    <w:top w:val="nil"/>
                    <w:left w:val="nil"/>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资金来源：</w:t>
                  </w:r>
                </w:p>
              </w:tc>
              <w:tc>
                <w:tcPr>
                  <w:tcW w:w="6727"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保证金</w:t>
                  </w:r>
                </w:p>
              </w:tc>
            </w:tr>
            <w:tr>
              <w:tblPrEx>
                <w:tblLayout w:type="fixed"/>
                <w:tblCellMar>
                  <w:top w:w="0" w:type="dxa"/>
                  <w:left w:w="108" w:type="dxa"/>
                  <w:bottom w:w="0" w:type="dxa"/>
                  <w:right w:w="108" w:type="dxa"/>
                </w:tblCellMar>
              </w:tblPrEx>
              <w:trPr>
                <w:cantSplit/>
                <w:trHeight w:val="545" w:hRule="atLeast"/>
              </w:trPr>
              <w:tc>
                <w:tcPr>
                  <w:tcW w:w="111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szCs w:val="21"/>
                    </w:rPr>
                  </w:pPr>
                </w:p>
              </w:tc>
              <w:tc>
                <w:tcPr>
                  <w:tcW w:w="8239" w:type="dxa"/>
                  <w:gridSpan w:val="5"/>
                  <w:tcBorders>
                    <w:top w:val="single" w:color="auto" w:sz="4" w:space="0"/>
                    <w:left w:val="nil"/>
                    <w:bottom w:val="single" w:color="auto" w:sz="4" w:space="0"/>
                    <w:right w:val="single" w:color="000000" w:sz="4" w:space="0"/>
                  </w:tcBorders>
                  <w:vAlign w:val="top"/>
                </w:tcPr>
                <w:p>
                  <w:pPr>
                    <w:rPr>
                      <w:rFonts w:hint="eastAsia" w:ascii="宋体" w:hAnsi="宋体" w:cs="宋体"/>
                      <w:szCs w:val="21"/>
                    </w:rPr>
                  </w:pPr>
                  <w:r>
                    <w:rPr>
                      <w:rFonts w:hint="eastAsia" w:ascii="宋体" w:hAnsi="宋体" w:cs="宋体"/>
                      <w:szCs w:val="21"/>
                    </w:rPr>
                    <w:t>备注：</w:t>
                  </w:r>
                </w:p>
              </w:tc>
            </w:tr>
            <w:tr>
              <w:tblPrEx>
                <w:tblLayout w:type="fixed"/>
                <w:tblCellMar>
                  <w:top w:w="0" w:type="dxa"/>
                  <w:left w:w="108" w:type="dxa"/>
                  <w:bottom w:w="0" w:type="dxa"/>
                  <w:right w:w="108" w:type="dxa"/>
                </w:tblCellMar>
              </w:tblPrEx>
              <w:trPr>
                <w:trHeight w:val="10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经办及审批</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申请人：</w:t>
                  </w: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r>
                    <w:rPr>
                      <w:rFonts w:hint="eastAsia" w:ascii="宋体" w:hAnsi="宋体" w:cs="宋体"/>
                      <w:szCs w:val="21"/>
                    </w:rPr>
                    <w:t>采购部门负责人：</w:t>
                  </w:r>
                </w:p>
              </w:tc>
            </w:tr>
            <w:tr>
              <w:tblPrEx>
                <w:tblLayout w:type="fixed"/>
                <w:tblCellMar>
                  <w:top w:w="0" w:type="dxa"/>
                  <w:left w:w="108" w:type="dxa"/>
                  <w:bottom w:w="0" w:type="dxa"/>
                  <w:right w:w="108" w:type="dxa"/>
                </w:tblCellMar>
              </w:tblPrEx>
              <w:trPr>
                <w:trHeight w:val="10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合同管理人员审核</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1234" w:hRule="atLeast"/>
              </w:trPr>
              <w:tc>
                <w:tcPr>
                  <w:tcW w:w="1117" w:type="dxa"/>
                  <w:tcBorders>
                    <w:top w:val="nil"/>
                    <w:left w:val="single" w:color="auto" w:sz="4" w:space="0"/>
                    <w:bottom w:val="single" w:color="000000"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财务部门审核</w:t>
                  </w:r>
                </w:p>
              </w:tc>
              <w:tc>
                <w:tcPr>
                  <w:tcW w:w="3039" w:type="dxa"/>
                  <w:gridSpan w:val="2"/>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c>
                <w:tcPr>
                  <w:tcW w:w="5200" w:type="dxa"/>
                  <w:gridSpan w:val="3"/>
                  <w:tcBorders>
                    <w:top w:val="single" w:color="auto" w:sz="4" w:space="0"/>
                    <w:left w:val="nil"/>
                    <w:bottom w:val="single" w:color="auto" w:sz="4" w:space="0"/>
                    <w:right w:val="single" w:color="000000" w:sz="4" w:space="0"/>
                  </w:tcBorders>
                  <w:vAlign w:val="center"/>
                </w:tcPr>
                <w:p>
                  <w:pPr>
                    <w:rPr>
                      <w:rFonts w:hint="eastAsia" w:ascii="宋体" w:hAnsi="宋体" w:cs="宋体"/>
                      <w:szCs w:val="21"/>
                    </w:rPr>
                  </w:pPr>
                </w:p>
              </w:tc>
            </w:tr>
            <w:tr>
              <w:tblPrEx>
                <w:tblLayout w:type="fixed"/>
                <w:tblCellMar>
                  <w:top w:w="0" w:type="dxa"/>
                  <w:left w:w="108" w:type="dxa"/>
                  <w:bottom w:w="0" w:type="dxa"/>
                  <w:right w:w="108" w:type="dxa"/>
                </w:tblCellMar>
              </w:tblPrEx>
              <w:trPr>
                <w:trHeight w:val="405" w:hRule="atLeast"/>
              </w:trPr>
              <w:tc>
                <w:tcPr>
                  <w:tcW w:w="9356" w:type="dxa"/>
                  <w:gridSpan w:val="6"/>
                  <w:vAlign w:val="center"/>
                </w:tcPr>
                <w:p>
                  <w:pPr>
                    <w:jc w:val="center"/>
                    <w:rPr>
                      <w:rFonts w:hint="eastAsia" w:ascii="宋体" w:hAnsi="宋体" w:cs="宋体"/>
                      <w:szCs w:val="21"/>
                    </w:rPr>
                  </w:pPr>
                </w:p>
              </w:tc>
            </w:tr>
          </w:tbl>
          <w:p>
            <w:pPr>
              <w:jc w:val="center"/>
              <w:rPr>
                <w:rFonts w:hint="eastAsia" w:ascii="宋体" w:hAnsi="宋体" w:cs="宋体"/>
                <w:b/>
                <w:bCs/>
                <w:sz w:val="32"/>
                <w:szCs w:val="32"/>
              </w:rPr>
            </w:pPr>
          </w:p>
        </w:tc>
      </w:tr>
    </w:tbl>
    <w:p>
      <w:pPr>
        <w:adjustRightInd w:val="0"/>
        <w:snapToGrid w:val="0"/>
        <w:spacing w:line="480" w:lineRule="exact"/>
        <w:rPr>
          <w:rFonts w:hint="eastAsia"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19</w:t>
    </w:r>
    <w:r>
      <w:fldChar w:fldCharType="end"/>
    </w:r>
  </w:p>
  <w:p>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aspectratio="t"/>
          <w10:wrap type="topAndBottom"/>
        </v:shape>
        <o:OLEObject Type="Embed" ProgID="" ShapeID="_x0000_s2049"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0qOxNUAAAAIAQAADwAAAAAAAAABACAAAAAiAAAAZHJz&#10;L2Rvd25yZXYueG1sUEsBAhQAFAAAAAgAh07iQJwoHFnOAQAAjQMAAA4AAAAAAAAAAQAgAAAAJAEA&#10;AGRycy9lMm9Eb2MueG1sUEsFBgAAAAAGAAYAWQEAAGQ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szCs w:val="21"/>
      </w:rPr>
    </w:pPr>
    <w:r>
      <w:rPr>
        <w:rFonts w:hint="eastAsia" w:ascii="宋体" w:hAnsi="宋体"/>
        <w:szCs w:val="21"/>
      </w:rPr>
      <w:t xml:space="preserve">广东省河源监狱工会2025年会员电影券采购项目     </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rPr>
    </w:pPr>
    <w:r>
      <w:rPr>
        <w:rFonts w:hint="eastAsia" w:ascii="宋体" w:hAnsi="宋体"/>
        <w:szCs w:val="21"/>
      </w:rPr>
      <w:t xml:space="preserve">广东省河源监狱工会2025年会员电影券采购项目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NlNTgzNGFmOWI3Y2IzM2FhZDg2YmVkNTY3Yzg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F5C"/>
    <w:rsid w:val="00030F87"/>
    <w:rsid w:val="00032BBF"/>
    <w:rsid w:val="00033A89"/>
    <w:rsid w:val="00033C93"/>
    <w:rsid w:val="000353DE"/>
    <w:rsid w:val="00035818"/>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3797"/>
    <w:rsid w:val="00075D86"/>
    <w:rsid w:val="00076195"/>
    <w:rsid w:val="0007652B"/>
    <w:rsid w:val="00076FE0"/>
    <w:rsid w:val="00077101"/>
    <w:rsid w:val="0008059B"/>
    <w:rsid w:val="00081981"/>
    <w:rsid w:val="00083C0C"/>
    <w:rsid w:val="0008422A"/>
    <w:rsid w:val="0008656D"/>
    <w:rsid w:val="00090BE1"/>
    <w:rsid w:val="000933B3"/>
    <w:rsid w:val="00094258"/>
    <w:rsid w:val="00094C96"/>
    <w:rsid w:val="00097959"/>
    <w:rsid w:val="000A0E59"/>
    <w:rsid w:val="000A256B"/>
    <w:rsid w:val="000A2577"/>
    <w:rsid w:val="000A2BD0"/>
    <w:rsid w:val="000A2C06"/>
    <w:rsid w:val="000A2FA8"/>
    <w:rsid w:val="000A5489"/>
    <w:rsid w:val="000A584F"/>
    <w:rsid w:val="000B1DD7"/>
    <w:rsid w:val="000B1F1E"/>
    <w:rsid w:val="000B422D"/>
    <w:rsid w:val="000B72E7"/>
    <w:rsid w:val="000C0A1A"/>
    <w:rsid w:val="000C0EC3"/>
    <w:rsid w:val="000C123B"/>
    <w:rsid w:val="000C47EE"/>
    <w:rsid w:val="000C5F98"/>
    <w:rsid w:val="000C6E72"/>
    <w:rsid w:val="000C747B"/>
    <w:rsid w:val="000D0F63"/>
    <w:rsid w:val="000D1152"/>
    <w:rsid w:val="000D3F8C"/>
    <w:rsid w:val="000D7F30"/>
    <w:rsid w:val="000E0646"/>
    <w:rsid w:val="000E1791"/>
    <w:rsid w:val="000E487A"/>
    <w:rsid w:val="000E48CC"/>
    <w:rsid w:val="000E4DB4"/>
    <w:rsid w:val="000E6B71"/>
    <w:rsid w:val="000F0B99"/>
    <w:rsid w:val="000F1CB1"/>
    <w:rsid w:val="000F1D9A"/>
    <w:rsid w:val="000F2E0B"/>
    <w:rsid w:val="000F3E51"/>
    <w:rsid w:val="000F447F"/>
    <w:rsid w:val="000F7A2D"/>
    <w:rsid w:val="000F7F27"/>
    <w:rsid w:val="001019AC"/>
    <w:rsid w:val="00103807"/>
    <w:rsid w:val="00104F9F"/>
    <w:rsid w:val="001063B3"/>
    <w:rsid w:val="00107831"/>
    <w:rsid w:val="001108EE"/>
    <w:rsid w:val="001133DF"/>
    <w:rsid w:val="0011408A"/>
    <w:rsid w:val="001152F3"/>
    <w:rsid w:val="00117A3F"/>
    <w:rsid w:val="001200B9"/>
    <w:rsid w:val="00122473"/>
    <w:rsid w:val="00124379"/>
    <w:rsid w:val="001243AA"/>
    <w:rsid w:val="001268A8"/>
    <w:rsid w:val="00127CEF"/>
    <w:rsid w:val="00130F33"/>
    <w:rsid w:val="00133825"/>
    <w:rsid w:val="0013481D"/>
    <w:rsid w:val="0013494E"/>
    <w:rsid w:val="0013580F"/>
    <w:rsid w:val="00137197"/>
    <w:rsid w:val="00137ABE"/>
    <w:rsid w:val="00137EE2"/>
    <w:rsid w:val="00140CBD"/>
    <w:rsid w:val="00140CFE"/>
    <w:rsid w:val="001412E7"/>
    <w:rsid w:val="001415A3"/>
    <w:rsid w:val="00141717"/>
    <w:rsid w:val="001419FB"/>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C45"/>
    <w:rsid w:val="0017592A"/>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D1965"/>
    <w:rsid w:val="001D244B"/>
    <w:rsid w:val="001D317C"/>
    <w:rsid w:val="001D3465"/>
    <w:rsid w:val="001D350F"/>
    <w:rsid w:val="001D42C0"/>
    <w:rsid w:val="001D51A5"/>
    <w:rsid w:val="001D52A2"/>
    <w:rsid w:val="001D73A0"/>
    <w:rsid w:val="001E2F85"/>
    <w:rsid w:val="001E363E"/>
    <w:rsid w:val="001E3A07"/>
    <w:rsid w:val="001E59AB"/>
    <w:rsid w:val="001E5ACB"/>
    <w:rsid w:val="001E7712"/>
    <w:rsid w:val="001F285E"/>
    <w:rsid w:val="001F4D07"/>
    <w:rsid w:val="00200797"/>
    <w:rsid w:val="002022F5"/>
    <w:rsid w:val="00204364"/>
    <w:rsid w:val="002050D2"/>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8C2"/>
    <w:rsid w:val="002400E7"/>
    <w:rsid w:val="00240614"/>
    <w:rsid w:val="00243BEF"/>
    <w:rsid w:val="00244551"/>
    <w:rsid w:val="00244ABB"/>
    <w:rsid w:val="002500D3"/>
    <w:rsid w:val="002507FB"/>
    <w:rsid w:val="00252606"/>
    <w:rsid w:val="0025690C"/>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526"/>
    <w:rsid w:val="00280C18"/>
    <w:rsid w:val="00281510"/>
    <w:rsid w:val="00281D11"/>
    <w:rsid w:val="00284595"/>
    <w:rsid w:val="00284D86"/>
    <w:rsid w:val="002856D5"/>
    <w:rsid w:val="002864B7"/>
    <w:rsid w:val="00287836"/>
    <w:rsid w:val="00293694"/>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B28"/>
    <w:rsid w:val="0035406C"/>
    <w:rsid w:val="00356231"/>
    <w:rsid w:val="00357A66"/>
    <w:rsid w:val="00357C15"/>
    <w:rsid w:val="00360D84"/>
    <w:rsid w:val="003612B5"/>
    <w:rsid w:val="00362489"/>
    <w:rsid w:val="003627F9"/>
    <w:rsid w:val="00363794"/>
    <w:rsid w:val="003673DE"/>
    <w:rsid w:val="00371EEB"/>
    <w:rsid w:val="0037260D"/>
    <w:rsid w:val="0037305A"/>
    <w:rsid w:val="00377323"/>
    <w:rsid w:val="0038006A"/>
    <w:rsid w:val="0038095A"/>
    <w:rsid w:val="003825D3"/>
    <w:rsid w:val="00383CAF"/>
    <w:rsid w:val="00386715"/>
    <w:rsid w:val="00387680"/>
    <w:rsid w:val="00387C2F"/>
    <w:rsid w:val="003911E8"/>
    <w:rsid w:val="00391810"/>
    <w:rsid w:val="00393680"/>
    <w:rsid w:val="00395360"/>
    <w:rsid w:val="00397BB0"/>
    <w:rsid w:val="003A1296"/>
    <w:rsid w:val="003A1D92"/>
    <w:rsid w:val="003A1EF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1C68"/>
    <w:rsid w:val="003C2735"/>
    <w:rsid w:val="003C2B14"/>
    <w:rsid w:val="003C3CDD"/>
    <w:rsid w:val="003C4B38"/>
    <w:rsid w:val="003C4D31"/>
    <w:rsid w:val="003C546F"/>
    <w:rsid w:val="003C5A16"/>
    <w:rsid w:val="003C632D"/>
    <w:rsid w:val="003D19C2"/>
    <w:rsid w:val="003D50F8"/>
    <w:rsid w:val="003D5328"/>
    <w:rsid w:val="003E1C9D"/>
    <w:rsid w:val="003E225B"/>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3164"/>
    <w:rsid w:val="00404D1B"/>
    <w:rsid w:val="00405389"/>
    <w:rsid w:val="0041162D"/>
    <w:rsid w:val="00411D60"/>
    <w:rsid w:val="00414115"/>
    <w:rsid w:val="00416D9D"/>
    <w:rsid w:val="00416FC1"/>
    <w:rsid w:val="004174F5"/>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6578"/>
    <w:rsid w:val="00441CE0"/>
    <w:rsid w:val="00441E80"/>
    <w:rsid w:val="00443C38"/>
    <w:rsid w:val="00444EB6"/>
    <w:rsid w:val="004461D1"/>
    <w:rsid w:val="00450155"/>
    <w:rsid w:val="00450B0B"/>
    <w:rsid w:val="00452A0B"/>
    <w:rsid w:val="00452C40"/>
    <w:rsid w:val="004536A8"/>
    <w:rsid w:val="00456FD9"/>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901EF"/>
    <w:rsid w:val="00490D38"/>
    <w:rsid w:val="00492103"/>
    <w:rsid w:val="004930D6"/>
    <w:rsid w:val="0049608A"/>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21DA"/>
    <w:rsid w:val="004D3264"/>
    <w:rsid w:val="004D3303"/>
    <w:rsid w:val="004D50F2"/>
    <w:rsid w:val="004E09F7"/>
    <w:rsid w:val="004E1280"/>
    <w:rsid w:val="004E3E0A"/>
    <w:rsid w:val="004E3FFE"/>
    <w:rsid w:val="004E4403"/>
    <w:rsid w:val="004E5BEA"/>
    <w:rsid w:val="004F0962"/>
    <w:rsid w:val="004F0A5C"/>
    <w:rsid w:val="004F10ED"/>
    <w:rsid w:val="004F371F"/>
    <w:rsid w:val="004F4274"/>
    <w:rsid w:val="004F4D02"/>
    <w:rsid w:val="004F653B"/>
    <w:rsid w:val="004F6EE7"/>
    <w:rsid w:val="005006CC"/>
    <w:rsid w:val="0050124E"/>
    <w:rsid w:val="005024E5"/>
    <w:rsid w:val="0050617C"/>
    <w:rsid w:val="00506FC0"/>
    <w:rsid w:val="00513E25"/>
    <w:rsid w:val="0051462D"/>
    <w:rsid w:val="00516624"/>
    <w:rsid w:val="00517C11"/>
    <w:rsid w:val="00522C2B"/>
    <w:rsid w:val="005242AB"/>
    <w:rsid w:val="00524CE5"/>
    <w:rsid w:val="00525C19"/>
    <w:rsid w:val="00525FF5"/>
    <w:rsid w:val="00527389"/>
    <w:rsid w:val="0052744B"/>
    <w:rsid w:val="005308D4"/>
    <w:rsid w:val="0053163E"/>
    <w:rsid w:val="005319C9"/>
    <w:rsid w:val="00531F17"/>
    <w:rsid w:val="00532F1A"/>
    <w:rsid w:val="00534FD8"/>
    <w:rsid w:val="00535ED4"/>
    <w:rsid w:val="00536359"/>
    <w:rsid w:val="00536AC9"/>
    <w:rsid w:val="00537883"/>
    <w:rsid w:val="0054028E"/>
    <w:rsid w:val="00540BE6"/>
    <w:rsid w:val="00543455"/>
    <w:rsid w:val="00543FB9"/>
    <w:rsid w:val="005470E8"/>
    <w:rsid w:val="005504EB"/>
    <w:rsid w:val="00551C18"/>
    <w:rsid w:val="0055531D"/>
    <w:rsid w:val="005558EF"/>
    <w:rsid w:val="005603EF"/>
    <w:rsid w:val="005614D2"/>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3380"/>
    <w:rsid w:val="005B542B"/>
    <w:rsid w:val="005B59CE"/>
    <w:rsid w:val="005B5AB6"/>
    <w:rsid w:val="005B5E18"/>
    <w:rsid w:val="005B764D"/>
    <w:rsid w:val="005C08EA"/>
    <w:rsid w:val="005C0AC8"/>
    <w:rsid w:val="005C20EB"/>
    <w:rsid w:val="005C2D34"/>
    <w:rsid w:val="005C4F24"/>
    <w:rsid w:val="005C539E"/>
    <w:rsid w:val="005C5F3A"/>
    <w:rsid w:val="005C6A1D"/>
    <w:rsid w:val="005C7345"/>
    <w:rsid w:val="005D0700"/>
    <w:rsid w:val="005D2172"/>
    <w:rsid w:val="005D3167"/>
    <w:rsid w:val="005D54EE"/>
    <w:rsid w:val="005D7D19"/>
    <w:rsid w:val="005D7D98"/>
    <w:rsid w:val="005E0E8A"/>
    <w:rsid w:val="005E1320"/>
    <w:rsid w:val="005E18CC"/>
    <w:rsid w:val="005E4B57"/>
    <w:rsid w:val="005E53FD"/>
    <w:rsid w:val="005F005E"/>
    <w:rsid w:val="005F0679"/>
    <w:rsid w:val="005F38E9"/>
    <w:rsid w:val="00600FCA"/>
    <w:rsid w:val="00604194"/>
    <w:rsid w:val="00604988"/>
    <w:rsid w:val="00607FB8"/>
    <w:rsid w:val="00610424"/>
    <w:rsid w:val="00613382"/>
    <w:rsid w:val="006135F2"/>
    <w:rsid w:val="006141C6"/>
    <w:rsid w:val="0061609D"/>
    <w:rsid w:val="00616D2A"/>
    <w:rsid w:val="006207B7"/>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633A"/>
    <w:rsid w:val="006B6953"/>
    <w:rsid w:val="006B76D3"/>
    <w:rsid w:val="006C1389"/>
    <w:rsid w:val="006C25C8"/>
    <w:rsid w:val="006C453E"/>
    <w:rsid w:val="006C4613"/>
    <w:rsid w:val="006C694F"/>
    <w:rsid w:val="006C6CC8"/>
    <w:rsid w:val="006D05D5"/>
    <w:rsid w:val="006D3A24"/>
    <w:rsid w:val="006D3D10"/>
    <w:rsid w:val="006D3DF5"/>
    <w:rsid w:val="006D4477"/>
    <w:rsid w:val="006D4F23"/>
    <w:rsid w:val="006D5538"/>
    <w:rsid w:val="006D7160"/>
    <w:rsid w:val="006D720E"/>
    <w:rsid w:val="006E127C"/>
    <w:rsid w:val="006E2E96"/>
    <w:rsid w:val="006E3248"/>
    <w:rsid w:val="006E39DE"/>
    <w:rsid w:val="006E41B3"/>
    <w:rsid w:val="006E49D1"/>
    <w:rsid w:val="006E7977"/>
    <w:rsid w:val="006F0EBD"/>
    <w:rsid w:val="006F252A"/>
    <w:rsid w:val="006F3ABC"/>
    <w:rsid w:val="006F416B"/>
    <w:rsid w:val="006F611C"/>
    <w:rsid w:val="006F7F52"/>
    <w:rsid w:val="0070066C"/>
    <w:rsid w:val="00700B74"/>
    <w:rsid w:val="00700E7D"/>
    <w:rsid w:val="00702E64"/>
    <w:rsid w:val="00704D9C"/>
    <w:rsid w:val="007070D7"/>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4AAB"/>
    <w:rsid w:val="00785065"/>
    <w:rsid w:val="007850AC"/>
    <w:rsid w:val="00785B21"/>
    <w:rsid w:val="00787D1D"/>
    <w:rsid w:val="007900BB"/>
    <w:rsid w:val="00790397"/>
    <w:rsid w:val="00790918"/>
    <w:rsid w:val="00791ADD"/>
    <w:rsid w:val="00794F9C"/>
    <w:rsid w:val="00795F17"/>
    <w:rsid w:val="007966F2"/>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C76"/>
    <w:rsid w:val="00825F4E"/>
    <w:rsid w:val="0082651C"/>
    <w:rsid w:val="0082774C"/>
    <w:rsid w:val="008308A3"/>
    <w:rsid w:val="00830EB3"/>
    <w:rsid w:val="00831474"/>
    <w:rsid w:val="00831FC4"/>
    <w:rsid w:val="008320AB"/>
    <w:rsid w:val="00832D6B"/>
    <w:rsid w:val="008350F4"/>
    <w:rsid w:val="00836085"/>
    <w:rsid w:val="00836388"/>
    <w:rsid w:val="008372CA"/>
    <w:rsid w:val="008410FF"/>
    <w:rsid w:val="0084168E"/>
    <w:rsid w:val="00841B2F"/>
    <w:rsid w:val="0084210F"/>
    <w:rsid w:val="00845559"/>
    <w:rsid w:val="00847B98"/>
    <w:rsid w:val="008504D2"/>
    <w:rsid w:val="00853AFB"/>
    <w:rsid w:val="008542E2"/>
    <w:rsid w:val="00854E83"/>
    <w:rsid w:val="00855AAB"/>
    <w:rsid w:val="00857917"/>
    <w:rsid w:val="00860B39"/>
    <w:rsid w:val="00860C7C"/>
    <w:rsid w:val="00861234"/>
    <w:rsid w:val="0086150C"/>
    <w:rsid w:val="00861FBD"/>
    <w:rsid w:val="00861FFC"/>
    <w:rsid w:val="008630A1"/>
    <w:rsid w:val="00864B56"/>
    <w:rsid w:val="00864E74"/>
    <w:rsid w:val="00864F9B"/>
    <w:rsid w:val="0086576B"/>
    <w:rsid w:val="00866E10"/>
    <w:rsid w:val="00870F50"/>
    <w:rsid w:val="00871643"/>
    <w:rsid w:val="00871A5E"/>
    <w:rsid w:val="00872454"/>
    <w:rsid w:val="008733E3"/>
    <w:rsid w:val="00873BC3"/>
    <w:rsid w:val="00875CE4"/>
    <w:rsid w:val="008762F8"/>
    <w:rsid w:val="008763C9"/>
    <w:rsid w:val="00877445"/>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2088"/>
    <w:rsid w:val="008E22C7"/>
    <w:rsid w:val="008E2520"/>
    <w:rsid w:val="008E300B"/>
    <w:rsid w:val="008E3C3B"/>
    <w:rsid w:val="008E4715"/>
    <w:rsid w:val="008E47B5"/>
    <w:rsid w:val="008E653A"/>
    <w:rsid w:val="008E7B60"/>
    <w:rsid w:val="008F039D"/>
    <w:rsid w:val="008F27C5"/>
    <w:rsid w:val="008F33F4"/>
    <w:rsid w:val="008F6117"/>
    <w:rsid w:val="008F7630"/>
    <w:rsid w:val="009026F7"/>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C44"/>
    <w:rsid w:val="00935F8B"/>
    <w:rsid w:val="009377CA"/>
    <w:rsid w:val="00943AB3"/>
    <w:rsid w:val="00946DD1"/>
    <w:rsid w:val="00950BF5"/>
    <w:rsid w:val="0095135A"/>
    <w:rsid w:val="009526EF"/>
    <w:rsid w:val="00952CA6"/>
    <w:rsid w:val="00953248"/>
    <w:rsid w:val="009550AA"/>
    <w:rsid w:val="00955F3B"/>
    <w:rsid w:val="009568BA"/>
    <w:rsid w:val="009573EA"/>
    <w:rsid w:val="009574C0"/>
    <w:rsid w:val="009602B8"/>
    <w:rsid w:val="00961187"/>
    <w:rsid w:val="00961DE8"/>
    <w:rsid w:val="00962B3B"/>
    <w:rsid w:val="009640F0"/>
    <w:rsid w:val="00964704"/>
    <w:rsid w:val="009653FA"/>
    <w:rsid w:val="00965590"/>
    <w:rsid w:val="009700DF"/>
    <w:rsid w:val="00970B4A"/>
    <w:rsid w:val="0097143E"/>
    <w:rsid w:val="009738D4"/>
    <w:rsid w:val="009763F6"/>
    <w:rsid w:val="009766F4"/>
    <w:rsid w:val="009804FA"/>
    <w:rsid w:val="00982378"/>
    <w:rsid w:val="00982BF9"/>
    <w:rsid w:val="0098678F"/>
    <w:rsid w:val="00992B9D"/>
    <w:rsid w:val="009942A4"/>
    <w:rsid w:val="00994D06"/>
    <w:rsid w:val="00995EC6"/>
    <w:rsid w:val="00997E3E"/>
    <w:rsid w:val="009A11E2"/>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61BA"/>
    <w:rsid w:val="00A4131E"/>
    <w:rsid w:val="00A431A3"/>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B3E"/>
    <w:rsid w:val="00A92DA6"/>
    <w:rsid w:val="00A93CFA"/>
    <w:rsid w:val="00A958BA"/>
    <w:rsid w:val="00A977DA"/>
    <w:rsid w:val="00AA0050"/>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7D77"/>
    <w:rsid w:val="00AC1E1D"/>
    <w:rsid w:val="00AC7448"/>
    <w:rsid w:val="00AD0E10"/>
    <w:rsid w:val="00AD1755"/>
    <w:rsid w:val="00AD1A93"/>
    <w:rsid w:val="00AD1E95"/>
    <w:rsid w:val="00AD2937"/>
    <w:rsid w:val="00AD2BEA"/>
    <w:rsid w:val="00AD6016"/>
    <w:rsid w:val="00AD7525"/>
    <w:rsid w:val="00AE02C4"/>
    <w:rsid w:val="00AE0596"/>
    <w:rsid w:val="00AE23FE"/>
    <w:rsid w:val="00AE2500"/>
    <w:rsid w:val="00AE2E83"/>
    <w:rsid w:val="00AE3143"/>
    <w:rsid w:val="00AE4A72"/>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1028D"/>
    <w:rsid w:val="00B11C98"/>
    <w:rsid w:val="00B13015"/>
    <w:rsid w:val="00B13AD1"/>
    <w:rsid w:val="00B13F58"/>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5DF4"/>
    <w:rsid w:val="00B6012C"/>
    <w:rsid w:val="00B602CC"/>
    <w:rsid w:val="00B60DDE"/>
    <w:rsid w:val="00B6280E"/>
    <w:rsid w:val="00B62AFE"/>
    <w:rsid w:val="00B62E97"/>
    <w:rsid w:val="00B64CCC"/>
    <w:rsid w:val="00B650DD"/>
    <w:rsid w:val="00B651F5"/>
    <w:rsid w:val="00B65617"/>
    <w:rsid w:val="00B65AB2"/>
    <w:rsid w:val="00B66FC9"/>
    <w:rsid w:val="00B733BC"/>
    <w:rsid w:val="00B738E5"/>
    <w:rsid w:val="00B74A47"/>
    <w:rsid w:val="00B74DB0"/>
    <w:rsid w:val="00B77386"/>
    <w:rsid w:val="00B77507"/>
    <w:rsid w:val="00B80980"/>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5BB5"/>
    <w:rsid w:val="00B9602D"/>
    <w:rsid w:val="00B9690E"/>
    <w:rsid w:val="00B97007"/>
    <w:rsid w:val="00B975EC"/>
    <w:rsid w:val="00B9772F"/>
    <w:rsid w:val="00B97883"/>
    <w:rsid w:val="00BA0ACA"/>
    <w:rsid w:val="00BA1668"/>
    <w:rsid w:val="00BA18BC"/>
    <w:rsid w:val="00BA3403"/>
    <w:rsid w:val="00BA34FA"/>
    <w:rsid w:val="00BA404F"/>
    <w:rsid w:val="00BA6F29"/>
    <w:rsid w:val="00BB0B96"/>
    <w:rsid w:val="00BB618A"/>
    <w:rsid w:val="00BC1A95"/>
    <w:rsid w:val="00BC2175"/>
    <w:rsid w:val="00BC38FC"/>
    <w:rsid w:val="00BC3BFA"/>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6550"/>
    <w:rsid w:val="00BF6984"/>
    <w:rsid w:val="00BF6F9F"/>
    <w:rsid w:val="00BF747B"/>
    <w:rsid w:val="00BF7CD1"/>
    <w:rsid w:val="00C02009"/>
    <w:rsid w:val="00C0551F"/>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6883"/>
    <w:rsid w:val="00C46E89"/>
    <w:rsid w:val="00C510F4"/>
    <w:rsid w:val="00C52D1F"/>
    <w:rsid w:val="00C5303A"/>
    <w:rsid w:val="00C56B65"/>
    <w:rsid w:val="00C56F13"/>
    <w:rsid w:val="00C57C54"/>
    <w:rsid w:val="00C607C0"/>
    <w:rsid w:val="00C62362"/>
    <w:rsid w:val="00C65697"/>
    <w:rsid w:val="00C70CC0"/>
    <w:rsid w:val="00C7561E"/>
    <w:rsid w:val="00C75C91"/>
    <w:rsid w:val="00C776BE"/>
    <w:rsid w:val="00C779F1"/>
    <w:rsid w:val="00C8028F"/>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A6BE9"/>
    <w:rsid w:val="00CB01FD"/>
    <w:rsid w:val="00CB13A8"/>
    <w:rsid w:val="00CB14F1"/>
    <w:rsid w:val="00CB17C6"/>
    <w:rsid w:val="00CB18F1"/>
    <w:rsid w:val="00CB1FD2"/>
    <w:rsid w:val="00CB2295"/>
    <w:rsid w:val="00CB3D05"/>
    <w:rsid w:val="00CC0EBA"/>
    <w:rsid w:val="00CC181B"/>
    <w:rsid w:val="00CC1BD8"/>
    <w:rsid w:val="00CC3976"/>
    <w:rsid w:val="00CD1C27"/>
    <w:rsid w:val="00CD1E94"/>
    <w:rsid w:val="00CD3399"/>
    <w:rsid w:val="00CD4889"/>
    <w:rsid w:val="00CD5049"/>
    <w:rsid w:val="00CD6C55"/>
    <w:rsid w:val="00CD6C85"/>
    <w:rsid w:val="00CE3FA3"/>
    <w:rsid w:val="00CE5E22"/>
    <w:rsid w:val="00CE6E0D"/>
    <w:rsid w:val="00CE7846"/>
    <w:rsid w:val="00CE7CF7"/>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41FF"/>
    <w:rsid w:val="00D4658D"/>
    <w:rsid w:val="00D4660A"/>
    <w:rsid w:val="00D502CC"/>
    <w:rsid w:val="00D50596"/>
    <w:rsid w:val="00D50CAB"/>
    <w:rsid w:val="00D51399"/>
    <w:rsid w:val="00D52018"/>
    <w:rsid w:val="00D52B6A"/>
    <w:rsid w:val="00D5392B"/>
    <w:rsid w:val="00D547EB"/>
    <w:rsid w:val="00D56D94"/>
    <w:rsid w:val="00D60DAD"/>
    <w:rsid w:val="00D62C4A"/>
    <w:rsid w:val="00D64F00"/>
    <w:rsid w:val="00D66945"/>
    <w:rsid w:val="00D67588"/>
    <w:rsid w:val="00D70967"/>
    <w:rsid w:val="00D70CDC"/>
    <w:rsid w:val="00D725C1"/>
    <w:rsid w:val="00D75124"/>
    <w:rsid w:val="00D76650"/>
    <w:rsid w:val="00D815CF"/>
    <w:rsid w:val="00D82F7D"/>
    <w:rsid w:val="00D85018"/>
    <w:rsid w:val="00D8553B"/>
    <w:rsid w:val="00D875AF"/>
    <w:rsid w:val="00D9008D"/>
    <w:rsid w:val="00D90B12"/>
    <w:rsid w:val="00D9116C"/>
    <w:rsid w:val="00D91793"/>
    <w:rsid w:val="00D926EE"/>
    <w:rsid w:val="00D93C47"/>
    <w:rsid w:val="00D946DC"/>
    <w:rsid w:val="00D956DB"/>
    <w:rsid w:val="00D95D43"/>
    <w:rsid w:val="00D97A82"/>
    <w:rsid w:val="00DA22C9"/>
    <w:rsid w:val="00DA333D"/>
    <w:rsid w:val="00DA3906"/>
    <w:rsid w:val="00DA642B"/>
    <w:rsid w:val="00DA6959"/>
    <w:rsid w:val="00DC0246"/>
    <w:rsid w:val="00DC12E7"/>
    <w:rsid w:val="00DC203F"/>
    <w:rsid w:val="00DC25F6"/>
    <w:rsid w:val="00DC2F12"/>
    <w:rsid w:val="00DC445A"/>
    <w:rsid w:val="00DC525F"/>
    <w:rsid w:val="00DC5E49"/>
    <w:rsid w:val="00DC63B4"/>
    <w:rsid w:val="00DC72DD"/>
    <w:rsid w:val="00DC7F6E"/>
    <w:rsid w:val="00DD12C1"/>
    <w:rsid w:val="00DD1AD0"/>
    <w:rsid w:val="00DD204F"/>
    <w:rsid w:val="00DD4019"/>
    <w:rsid w:val="00DD4385"/>
    <w:rsid w:val="00DD4B09"/>
    <w:rsid w:val="00DD5BA3"/>
    <w:rsid w:val="00DD7D7E"/>
    <w:rsid w:val="00DE08E4"/>
    <w:rsid w:val="00DE24B6"/>
    <w:rsid w:val="00DE2F26"/>
    <w:rsid w:val="00DE4943"/>
    <w:rsid w:val="00DE5DB1"/>
    <w:rsid w:val="00DE5F01"/>
    <w:rsid w:val="00DE5FDD"/>
    <w:rsid w:val="00DE73B9"/>
    <w:rsid w:val="00DF0E3A"/>
    <w:rsid w:val="00DF173F"/>
    <w:rsid w:val="00DF19FB"/>
    <w:rsid w:val="00DF4C18"/>
    <w:rsid w:val="00DF5974"/>
    <w:rsid w:val="00DF6909"/>
    <w:rsid w:val="00E008DA"/>
    <w:rsid w:val="00E0174B"/>
    <w:rsid w:val="00E01A05"/>
    <w:rsid w:val="00E0571E"/>
    <w:rsid w:val="00E05ABB"/>
    <w:rsid w:val="00E124DC"/>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0590"/>
    <w:rsid w:val="00E41BB4"/>
    <w:rsid w:val="00E42873"/>
    <w:rsid w:val="00E443C4"/>
    <w:rsid w:val="00E44758"/>
    <w:rsid w:val="00E44A46"/>
    <w:rsid w:val="00E4577B"/>
    <w:rsid w:val="00E45EA1"/>
    <w:rsid w:val="00E5271F"/>
    <w:rsid w:val="00E55AA2"/>
    <w:rsid w:val="00E57B2D"/>
    <w:rsid w:val="00E606B1"/>
    <w:rsid w:val="00E61602"/>
    <w:rsid w:val="00E63F54"/>
    <w:rsid w:val="00E64694"/>
    <w:rsid w:val="00E66E17"/>
    <w:rsid w:val="00E71D7F"/>
    <w:rsid w:val="00E72E65"/>
    <w:rsid w:val="00E73597"/>
    <w:rsid w:val="00E74207"/>
    <w:rsid w:val="00E75B4C"/>
    <w:rsid w:val="00E80054"/>
    <w:rsid w:val="00E806BD"/>
    <w:rsid w:val="00E819E7"/>
    <w:rsid w:val="00E82985"/>
    <w:rsid w:val="00E830BE"/>
    <w:rsid w:val="00E83206"/>
    <w:rsid w:val="00E83AAF"/>
    <w:rsid w:val="00E83F50"/>
    <w:rsid w:val="00E8536A"/>
    <w:rsid w:val="00E8552C"/>
    <w:rsid w:val="00E9239C"/>
    <w:rsid w:val="00E93E31"/>
    <w:rsid w:val="00E9674E"/>
    <w:rsid w:val="00E97D0D"/>
    <w:rsid w:val="00EA0CE9"/>
    <w:rsid w:val="00EA18D5"/>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51088"/>
    <w:rsid w:val="00F5143D"/>
    <w:rsid w:val="00F537FC"/>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B03"/>
    <w:rsid w:val="00F76D4E"/>
    <w:rsid w:val="00F805DE"/>
    <w:rsid w:val="00F80A0D"/>
    <w:rsid w:val="00F8260A"/>
    <w:rsid w:val="00F83CFE"/>
    <w:rsid w:val="00F84E4C"/>
    <w:rsid w:val="00F84F36"/>
    <w:rsid w:val="00F8659A"/>
    <w:rsid w:val="00F87497"/>
    <w:rsid w:val="00F87BF6"/>
    <w:rsid w:val="00F87C1F"/>
    <w:rsid w:val="00F90636"/>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4B02"/>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5B71"/>
    <w:rsid w:val="00FC6A1C"/>
    <w:rsid w:val="00FD0711"/>
    <w:rsid w:val="00FD30DA"/>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72712F"/>
    <w:rsid w:val="017A537F"/>
    <w:rsid w:val="022C2EA3"/>
    <w:rsid w:val="024B3623"/>
    <w:rsid w:val="026A2821"/>
    <w:rsid w:val="0330663D"/>
    <w:rsid w:val="03316038"/>
    <w:rsid w:val="038118D6"/>
    <w:rsid w:val="039B256C"/>
    <w:rsid w:val="042E253E"/>
    <w:rsid w:val="046F5443"/>
    <w:rsid w:val="04841EBB"/>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262C63"/>
    <w:rsid w:val="10272010"/>
    <w:rsid w:val="10AD6F29"/>
    <w:rsid w:val="10EF7EE2"/>
    <w:rsid w:val="112576CB"/>
    <w:rsid w:val="11DA2EF3"/>
    <w:rsid w:val="128311BA"/>
    <w:rsid w:val="12865403"/>
    <w:rsid w:val="131D3798"/>
    <w:rsid w:val="13741F37"/>
    <w:rsid w:val="13B44366"/>
    <w:rsid w:val="13F8690D"/>
    <w:rsid w:val="13FD32BF"/>
    <w:rsid w:val="1440505C"/>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AD5B0F"/>
    <w:rsid w:val="1CB75651"/>
    <w:rsid w:val="1D145D60"/>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07811"/>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ED185E"/>
    <w:rsid w:val="2CFA27BF"/>
    <w:rsid w:val="2D1B6627"/>
    <w:rsid w:val="2D885DEC"/>
    <w:rsid w:val="2DC61047"/>
    <w:rsid w:val="2DD9606F"/>
    <w:rsid w:val="2DE03FF9"/>
    <w:rsid w:val="2DFE72D1"/>
    <w:rsid w:val="2EA66FF1"/>
    <w:rsid w:val="2F4E02CA"/>
    <w:rsid w:val="2F6D590A"/>
    <w:rsid w:val="2F77431A"/>
    <w:rsid w:val="2F9528BF"/>
    <w:rsid w:val="2FFC00DB"/>
    <w:rsid w:val="30532F8E"/>
    <w:rsid w:val="307430EF"/>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3C451E"/>
    <w:rsid w:val="49533294"/>
    <w:rsid w:val="4A3120D0"/>
    <w:rsid w:val="4AAB4126"/>
    <w:rsid w:val="4AAB41A5"/>
    <w:rsid w:val="4ACB00B3"/>
    <w:rsid w:val="4AE47B77"/>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C5D4F"/>
    <w:rsid w:val="529E5C56"/>
    <w:rsid w:val="52B22ED5"/>
    <w:rsid w:val="536D447B"/>
    <w:rsid w:val="53997E14"/>
    <w:rsid w:val="53AD39CB"/>
    <w:rsid w:val="547B03D3"/>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8D61CA"/>
    <w:rsid w:val="74BD0F85"/>
    <w:rsid w:val="751A116C"/>
    <w:rsid w:val="75D767D6"/>
    <w:rsid w:val="7662022F"/>
    <w:rsid w:val="76636B42"/>
    <w:rsid w:val="771C24C3"/>
    <w:rsid w:val="77291B3A"/>
    <w:rsid w:val="77366F0D"/>
    <w:rsid w:val="773C2A1C"/>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ascii="宋体"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62"/>
    <w:qFormat/>
    <w:uiPriority w:val="0"/>
    <w:pPr>
      <w:widowControl w:val="0"/>
      <w:spacing w:line="360" w:lineRule="auto"/>
      <w:jc w:val="both"/>
      <w:outlineLvl w:val="2"/>
    </w:pPr>
    <w:rPr>
      <w:rFonts w:ascii="宋体"/>
    </w:rPr>
  </w:style>
  <w:style w:type="character" w:default="1" w:styleId="24">
    <w:name w:val="Default Paragraph Font"/>
    <w:semiHidden/>
    <w:qFormat/>
    <w:uiPriority w:val="0"/>
  </w:style>
  <w:style w:type="table" w:default="1" w:styleId="2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paragraph" w:styleId="7">
    <w:name w:val="annotation subject"/>
    <w:basedOn w:val="8"/>
    <w:next w:val="8"/>
    <w:link w:val="54"/>
    <w:uiPriority w:val="0"/>
    <w:rPr>
      <w:b/>
      <w:bCs/>
    </w:rPr>
  </w:style>
  <w:style w:type="paragraph" w:styleId="8">
    <w:name w:val="annotation text"/>
    <w:basedOn w:val="1"/>
    <w:link w:val="52"/>
    <w:uiPriority w:val="0"/>
  </w:style>
  <w:style w:type="paragraph" w:styleId="9">
    <w:name w:val="Normal Indent"/>
    <w:basedOn w:val="1"/>
    <w:link w:val="60"/>
    <w:qFormat/>
    <w:uiPriority w:val="0"/>
    <w:pPr>
      <w:widowControl w:val="0"/>
      <w:ind w:firstLine="420"/>
      <w:jc w:val="both"/>
    </w:pPr>
    <w:rPr>
      <w:kern w:val="2"/>
    </w:rPr>
  </w:style>
  <w:style w:type="paragraph" w:styleId="10">
    <w:name w:val="Document Map"/>
    <w:basedOn w:val="1"/>
    <w:semiHidden/>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w:basedOn w:val="1"/>
    <w:next w:val="1"/>
    <w:link w:val="59"/>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56"/>
    <w:qFormat/>
    <w:uiPriority w:val="0"/>
    <w:pPr>
      <w:widowControl w:val="0"/>
      <w:jc w:val="both"/>
    </w:pPr>
    <w:rPr>
      <w:rFonts w:ascii="宋体" w:hAnsi="Courier New"/>
      <w:kern w:val="2"/>
    </w:rPr>
  </w:style>
  <w:style w:type="paragraph" w:styleId="15">
    <w:name w:val="Date"/>
    <w:basedOn w:val="1"/>
    <w:next w:val="1"/>
    <w:link w:val="50"/>
    <w:unhideWhenUsed/>
    <w:uiPriority w:val="99"/>
    <w:pPr>
      <w:widowControl w:val="0"/>
      <w:ind w:left="100" w:leftChars="2500"/>
      <w:jc w:val="both"/>
    </w:pPr>
    <w:rPr>
      <w:rFonts w:ascii="Calibri" w:hAnsi="Calibri"/>
      <w:kern w:val="2"/>
      <w:szCs w:val="22"/>
    </w:rPr>
  </w:style>
  <w:style w:type="paragraph" w:styleId="16">
    <w:name w:val="Body Text Indent 2"/>
    <w:basedOn w:val="1"/>
    <w:uiPriority w:val="0"/>
    <w:pPr>
      <w:spacing w:after="120" w:line="480" w:lineRule="auto"/>
      <w:ind w:left="420" w:leftChars="200"/>
    </w:pPr>
  </w:style>
  <w:style w:type="paragraph" w:styleId="17">
    <w:name w:val="Balloon Text"/>
    <w:basedOn w:val="1"/>
    <w:link w:val="55"/>
    <w:uiPriority w:val="0"/>
    <w:rPr>
      <w:sz w:val="18"/>
      <w:szCs w:val="18"/>
    </w:rPr>
  </w:style>
  <w:style w:type="paragraph" w:styleId="18">
    <w:name w:val="footer"/>
    <w:basedOn w:val="1"/>
    <w:link w:val="53"/>
    <w:qFormat/>
    <w:uiPriority w:val="99"/>
    <w:pPr>
      <w:pBdr>
        <w:top w:val="single" w:color="auto" w:sz="4" w:space="1"/>
      </w:pBdr>
      <w:tabs>
        <w:tab w:val="center" w:pos="4153"/>
        <w:tab w:val="right" w:pos="8306"/>
      </w:tabs>
      <w:snapToGrid w:val="0"/>
      <w:jc w:val="left"/>
    </w:pPr>
    <w:rPr>
      <w:sz w:val="18"/>
      <w:szCs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qFormat/>
    <w:uiPriority w:val="99"/>
    <w:pPr>
      <w:spacing w:before="100" w:beforeAutospacing="1" w:after="100" w:afterAutospacing="1"/>
    </w:pPr>
    <w:rPr>
      <w:rFonts w:ascii="宋体" w:hAnsi="宋体" w:cs="宋体"/>
      <w:sz w:val="24"/>
      <w:szCs w:val="24"/>
    </w:rPr>
  </w:style>
  <w:style w:type="character" w:styleId="25">
    <w:name w:val="page number"/>
    <w:uiPriority w:val="0"/>
  </w:style>
  <w:style w:type="character" w:styleId="26">
    <w:name w:val="Hyperlink"/>
    <w:uiPriority w:val="99"/>
    <w:rPr>
      <w:color w:val="0000FF"/>
      <w:u w:val="single"/>
    </w:rPr>
  </w:style>
  <w:style w:type="character" w:styleId="27">
    <w:name w:val="annotation reference"/>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1">
    <w:name w:val="列出段落2"/>
    <w:basedOn w:val="1"/>
    <w:link w:val="61"/>
    <w:qFormat/>
    <w:uiPriority w:val="0"/>
    <w:pPr>
      <w:widowControl w:val="0"/>
      <w:ind w:firstLine="420" w:firstLineChars="200"/>
      <w:jc w:val="both"/>
    </w:pPr>
    <w:rPr>
      <w:rFonts w:ascii="Calibri" w:hAnsi="Calibri"/>
      <w:kern w:val="2"/>
      <w:szCs w:val="22"/>
    </w:rPr>
  </w:style>
  <w:style w:type="paragraph" w:customStyle="1" w:styleId="32">
    <w:name w:val="Char"/>
    <w:basedOn w:val="1"/>
    <w:semiHidden/>
    <w:qFormat/>
    <w:uiPriority w:val="0"/>
    <w:pPr>
      <w:widowControl w:val="0"/>
      <w:jc w:val="both"/>
    </w:pPr>
    <w:rPr>
      <w:kern w:val="2"/>
      <w:sz w:val="24"/>
      <w:szCs w:val="24"/>
    </w:rPr>
  </w:style>
  <w:style w:type="paragraph" w:styleId="33">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34">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35">
    <w:name w:val=" Char1"/>
    <w:basedOn w:val="1"/>
    <w:uiPriority w:val="0"/>
    <w:pPr>
      <w:widowControl w:val="0"/>
      <w:jc w:val="both"/>
    </w:pPr>
    <w:rPr>
      <w:rFonts w:ascii="Tahoma" w:hAnsi="Tahoma"/>
      <w:kern w:val="2"/>
      <w:sz w:val="24"/>
      <w:szCs w:val="24"/>
    </w:rPr>
  </w:style>
  <w:style w:type="paragraph" w:customStyle="1" w:styleId="36">
    <w:name w:val="_Style 35"/>
    <w:basedOn w:val="4"/>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37">
    <w:name w:val="正文文本缩进1"/>
    <w:basedOn w:val="1"/>
    <w:qFormat/>
    <w:uiPriority w:val="0"/>
    <w:pPr>
      <w:spacing w:line="500" w:lineRule="exact"/>
      <w:ind w:firstLine="880" w:firstLineChars="200"/>
    </w:pPr>
  </w:style>
  <w:style w:type="paragraph" w:customStyle="1" w:styleId="38">
    <w:name w:val=" 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9">
    <w:name w:val=" Char"/>
    <w:basedOn w:val="1"/>
    <w:qFormat/>
    <w:uiPriority w:val="0"/>
    <w:pPr>
      <w:spacing w:after="160" w:line="240" w:lineRule="exact"/>
    </w:pPr>
    <w:rPr>
      <w:rFonts w:ascii="Verdana" w:hAnsi="Verdana"/>
      <w:lang w:eastAsia="en-US"/>
    </w:rPr>
  </w:style>
  <w:style w:type="paragraph" w:customStyle="1" w:styleId="40">
    <w:name w:val="表格文字"/>
    <w:basedOn w:val="1"/>
    <w:qFormat/>
    <w:uiPriority w:val="99"/>
    <w:pPr>
      <w:spacing w:before="25" w:after="25"/>
      <w:jc w:val="left"/>
    </w:pPr>
    <w:rPr>
      <w:spacing w:val="10"/>
      <w:kern w:val="0"/>
      <w:sz w:val="24"/>
      <w:szCs w:val="24"/>
    </w:rPr>
  </w:style>
  <w:style w:type="paragraph" w:customStyle="1" w:styleId="41">
    <w:name w:val="_Style 3"/>
    <w:basedOn w:val="1"/>
    <w:qFormat/>
    <w:uiPriority w:val="0"/>
    <w:pPr>
      <w:widowControl w:val="0"/>
      <w:ind w:firstLine="420" w:firstLineChars="200"/>
      <w:jc w:val="both"/>
    </w:pPr>
    <w:rPr>
      <w:kern w:val="2"/>
      <w:sz w:val="20"/>
      <w:szCs w:val="24"/>
      <w:lang w:eastAsia="en-US" w:bidi="en-US"/>
    </w:rPr>
  </w:style>
  <w:style w:type="paragraph" w:customStyle="1" w:styleId="42">
    <w:name w:val="图"/>
    <w:basedOn w:val="34"/>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43">
    <w:name w:val="Char1"/>
    <w:basedOn w:val="1"/>
    <w:qFormat/>
    <w:uiPriority w:val="0"/>
    <w:pPr>
      <w:spacing w:after="160" w:line="240" w:lineRule="exact"/>
    </w:pPr>
    <w:rPr>
      <w:rFonts w:ascii="Verdana" w:hAnsi="Verdana"/>
      <w:lang w:eastAsia="en-US"/>
    </w:rPr>
  </w:style>
  <w:style w:type="paragraph" w:customStyle="1" w:styleId="44">
    <w:name w:val="正文首行缩进 21"/>
    <w:basedOn w:val="37"/>
    <w:qFormat/>
    <w:uiPriority w:val="0"/>
    <w:pPr>
      <w:ind w:firstLine="420"/>
    </w:pPr>
    <w:rPr>
      <w:szCs w:val="22"/>
    </w:rPr>
  </w:style>
  <w:style w:type="paragraph" w:customStyle="1" w:styleId="45">
    <w:name w:val="_Style 44"/>
    <w:unhideWhenUsed/>
    <w:qFormat/>
    <w:uiPriority w:val="99"/>
    <w:rPr>
      <w:rFonts w:ascii="Times New Roman" w:hAnsi="Times New Roman" w:eastAsia="宋体" w:cs="Times New Roman"/>
      <w:sz w:val="21"/>
      <w:lang w:val="en-US" w:eastAsia="zh-CN" w:bidi="ar-SA"/>
    </w:rPr>
  </w:style>
  <w:style w:type="paragraph" w:customStyle="1" w:styleId="46">
    <w:name w:val="Char Char Char"/>
    <w:basedOn w:val="1"/>
    <w:qFormat/>
    <w:uiPriority w:val="0"/>
    <w:pPr>
      <w:widowControl w:val="0"/>
      <w:jc w:val="both"/>
    </w:pPr>
    <w:rPr>
      <w:rFonts w:ascii="Tahoma" w:hAnsi="Tahoma"/>
      <w:kern w:val="2"/>
      <w:sz w:val="24"/>
    </w:rPr>
  </w:style>
  <w:style w:type="paragraph" w:customStyle="1" w:styleId="47">
    <w:name w:val="Char1 Char Char Char"/>
    <w:basedOn w:val="1"/>
    <w:qFormat/>
    <w:uiPriority w:val="0"/>
    <w:pPr>
      <w:widowControl w:val="0"/>
      <w:jc w:val="both"/>
    </w:pPr>
    <w:rPr>
      <w:kern w:val="2"/>
      <w:szCs w:val="24"/>
    </w:rPr>
  </w:style>
  <w:style w:type="character" w:customStyle="1" w:styleId="48">
    <w:name w:val="font31"/>
    <w:uiPriority w:val="0"/>
    <w:rPr>
      <w:rFonts w:hint="eastAsia" w:ascii="宋体" w:hAnsi="宋体" w:eastAsia="宋体" w:cs="宋体"/>
      <w:color w:val="000000"/>
      <w:sz w:val="24"/>
      <w:szCs w:val="24"/>
      <w:u w:val="none"/>
    </w:rPr>
  </w:style>
  <w:style w:type="character" w:customStyle="1" w:styleId="49">
    <w:name w:val="纯文本 Char1"/>
    <w:qFormat/>
    <w:uiPriority w:val="0"/>
    <w:rPr>
      <w:rFonts w:ascii="宋体" w:hAnsi="Courier New"/>
      <w:kern w:val="2"/>
      <w:sz w:val="21"/>
    </w:rPr>
  </w:style>
  <w:style w:type="character" w:customStyle="1" w:styleId="50">
    <w:name w:val="日期 字符"/>
    <w:link w:val="15"/>
    <w:qFormat/>
    <w:uiPriority w:val="99"/>
    <w:rPr>
      <w:rFonts w:ascii="Calibri" w:hAnsi="Calibri" w:eastAsia="宋体" w:cs="Times New Roman"/>
      <w:kern w:val="2"/>
      <w:sz w:val="21"/>
      <w:szCs w:val="22"/>
    </w:rPr>
  </w:style>
  <w:style w:type="character" w:customStyle="1" w:styleId="51">
    <w:name w:val="页眉 字符"/>
    <w:link w:val="19"/>
    <w:locked/>
    <w:uiPriority w:val="0"/>
    <w:rPr>
      <w:sz w:val="18"/>
      <w:szCs w:val="18"/>
    </w:rPr>
  </w:style>
  <w:style w:type="character" w:customStyle="1" w:styleId="52">
    <w:name w:val="批注文字 字符"/>
    <w:link w:val="8"/>
    <w:qFormat/>
    <w:uiPriority w:val="0"/>
    <w:rPr>
      <w:sz w:val="21"/>
    </w:rPr>
  </w:style>
  <w:style w:type="character" w:customStyle="1" w:styleId="53">
    <w:name w:val="页脚 字符"/>
    <w:link w:val="18"/>
    <w:qFormat/>
    <w:locked/>
    <w:uiPriority w:val="99"/>
    <w:rPr>
      <w:sz w:val="18"/>
      <w:szCs w:val="18"/>
    </w:rPr>
  </w:style>
  <w:style w:type="character" w:customStyle="1" w:styleId="54">
    <w:name w:val="批注主题 字符"/>
    <w:link w:val="7"/>
    <w:qFormat/>
    <w:uiPriority w:val="0"/>
  </w:style>
  <w:style w:type="character" w:customStyle="1" w:styleId="55">
    <w:name w:val="批注框文本 字符"/>
    <w:link w:val="17"/>
    <w:uiPriority w:val="0"/>
    <w:rPr>
      <w:sz w:val="18"/>
      <w:szCs w:val="18"/>
    </w:rPr>
  </w:style>
  <w:style w:type="character" w:customStyle="1" w:styleId="56">
    <w:name w:val="纯文本 字符"/>
    <w:link w:val="14"/>
    <w:qFormat/>
    <w:uiPriority w:val="0"/>
    <w:rPr>
      <w:rFonts w:ascii="宋体" w:hAnsi="Courier New"/>
      <w:kern w:val="2"/>
      <w:sz w:val="21"/>
    </w:rPr>
  </w:style>
  <w:style w:type="character" w:customStyle="1" w:styleId="57">
    <w:name w:val="font01"/>
    <w:uiPriority w:val="0"/>
    <w:rPr>
      <w:rFonts w:hint="eastAsia" w:ascii="宋体" w:hAnsi="宋体" w:eastAsia="宋体" w:cs="宋体"/>
      <w:color w:val="000000"/>
      <w:sz w:val="24"/>
      <w:szCs w:val="24"/>
      <w:u w:val="none"/>
      <w:vertAlign w:val="superscript"/>
    </w:rPr>
  </w:style>
  <w:style w:type="character" w:customStyle="1" w:styleId="58">
    <w:name w:val="txt36"/>
    <w:qFormat/>
    <w:uiPriority w:val="0"/>
    <w:rPr>
      <w:color w:val="666666"/>
      <w:sz w:val="18"/>
      <w:szCs w:val="18"/>
    </w:rPr>
  </w:style>
  <w:style w:type="character" w:customStyle="1" w:styleId="59">
    <w:name w:val="正文文本 字符"/>
    <w:link w:val="12"/>
    <w:qFormat/>
    <w:uiPriority w:val="0"/>
    <w:rPr>
      <w:sz w:val="21"/>
    </w:rPr>
  </w:style>
  <w:style w:type="character" w:customStyle="1" w:styleId="60">
    <w:name w:val="正文缩进 字符"/>
    <w:link w:val="9"/>
    <w:qFormat/>
    <w:uiPriority w:val="0"/>
    <w:rPr>
      <w:kern w:val="2"/>
      <w:sz w:val="21"/>
    </w:rPr>
  </w:style>
  <w:style w:type="character" w:customStyle="1" w:styleId="61">
    <w:name w:val="列出段落 Char"/>
    <w:link w:val="31"/>
    <w:qFormat/>
    <w:uiPriority w:val="0"/>
    <w:rPr>
      <w:rFonts w:ascii="Calibri" w:hAnsi="Calibri"/>
      <w:kern w:val="2"/>
      <w:sz w:val="21"/>
      <w:szCs w:val="22"/>
    </w:rPr>
  </w:style>
  <w:style w:type="character" w:customStyle="1" w:styleId="62">
    <w:name w:val="标题 3 字符"/>
    <w:link w:val="5"/>
    <w:qFormat/>
    <w:uiPriority w:val="0"/>
    <w:rPr>
      <w:rFonts w:ascii="宋体" w:eastAsia="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1768</Words>
  <Characters>10082</Characters>
  <Lines>84</Lines>
  <Paragraphs>23</Paragraphs>
  <TotalTime>0</TotalTime>
  <ScaleCrop>false</ScaleCrop>
  <LinksUpToDate>false</LinksUpToDate>
  <CharactersWithSpaces>11827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2024-11-22T03:28:00Z</dcterms:created>
  <dc:creator>User</dc:creator>
  <cp:lastModifiedBy>朱细娥</cp:lastModifiedBy>
  <cp:lastPrinted>2024-01-16T00:56:00Z</cp:lastPrinted>
  <dcterms:modified xsi:type="dcterms:W3CDTF">2024-11-25T07:35:08Z</dcterms:modified>
  <dc:title>一、项目概述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3523C3414A4B4FDBB3FED3C765CA559B_13</vt:lpwstr>
  </property>
</Properties>
</file>