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广东省广裕集团河源莲塘实业有限责任公司企业计算机设备采购项目</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竞价结果公告</w:t>
      </w:r>
    </w:p>
    <w:p/>
    <w:p>
      <w:pPr>
        <w:spacing w:line="360" w:lineRule="auto"/>
        <w:ind w:firstLine="420" w:firstLineChars="200"/>
        <w:rPr>
          <w:rFonts w:ascii="宋体" w:hAnsi="宋体" w:eastAsia="宋体" w:cs="宋体"/>
          <w:szCs w:val="21"/>
        </w:rPr>
      </w:pPr>
      <w:r>
        <w:rPr>
          <w:rFonts w:hint="eastAsia" w:ascii="宋体" w:hAnsi="宋体" w:eastAsia="宋体" w:cs="宋体"/>
          <w:szCs w:val="21"/>
        </w:rPr>
        <w:t>广州顺为招标采购有限公司（以下简称“采购代理机构”）受广东省广裕集团河源莲塘实业有限责任公司（以下简称“采购人”）的委托就广东省广裕集团河源莲塘实业有限责任公司企业计算机设备采购项目（项目编号：GZSW24201HJ4162）进行网上竞价采购。采购代理机构于202</w:t>
      </w:r>
      <w:r>
        <w:rPr>
          <w:rFonts w:ascii="宋体" w:hAnsi="宋体" w:eastAsia="宋体" w:cs="宋体"/>
          <w:szCs w:val="21"/>
        </w:rPr>
        <w:t>4</w:t>
      </w:r>
      <w:r>
        <w:rPr>
          <w:rFonts w:hint="eastAsia" w:ascii="宋体" w:hAnsi="宋体" w:eastAsia="宋体" w:cs="宋体"/>
          <w:szCs w:val="21"/>
        </w:rPr>
        <w:t>年</w:t>
      </w:r>
      <w:r>
        <w:rPr>
          <w:rFonts w:ascii="宋体" w:hAnsi="宋体" w:eastAsia="宋体" w:cs="宋体"/>
          <w:szCs w:val="21"/>
        </w:rPr>
        <w:t>12</w:t>
      </w:r>
      <w:r>
        <w:rPr>
          <w:rFonts w:hint="eastAsia" w:ascii="宋体" w:hAnsi="宋体" w:eastAsia="宋体" w:cs="宋体"/>
          <w:szCs w:val="21"/>
        </w:rPr>
        <w:t>月2日在“广州顺为招标采购有限公司网”（http://www.gzswbc.com）的电子采购平台发布网上竞价公告，采用网上竞价方式进行采购，报价截止时间为202</w:t>
      </w:r>
      <w:r>
        <w:rPr>
          <w:rFonts w:ascii="宋体" w:hAnsi="宋体" w:eastAsia="宋体" w:cs="宋体"/>
          <w:szCs w:val="21"/>
        </w:rPr>
        <w:t>4</w:t>
      </w:r>
      <w:r>
        <w:rPr>
          <w:rFonts w:hint="eastAsia" w:ascii="宋体" w:hAnsi="宋体" w:eastAsia="宋体" w:cs="宋体"/>
          <w:szCs w:val="21"/>
        </w:rPr>
        <w:t>年</w:t>
      </w:r>
      <w:r>
        <w:rPr>
          <w:rFonts w:ascii="宋体" w:hAnsi="宋体" w:eastAsia="宋体" w:cs="宋体"/>
          <w:szCs w:val="21"/>
        </w:rPr>
        <w:t>12</w:t>
      </w:r>
      <w:r>
        <w:rPr>
          <w:rFonts w:hint="eastAsia" w:ascii="宋体" w:hAnsi="宋体" w:eastAsia="宋体" w:cs="宋体"/>
          <w:szCs w:val="21"/>
        </w:rPr>
        <w:t>月</w:t>
      </w:r>
      <w:r>
        <w:rPr>
          <w:rFonts w:ascii="宋体" w:hAnsi="宋体" w:eastAsia="宋体" w:cs="宋体"/>
          <w:szCs w:val="21"/>
        </w:rPr>
        <w:t>6</w:t>
      </w:r>
      <w:r>
        <w:rPr>
          <w:rFonts w:hint="eastAsia" w:ascii="宋体" w:hAnsi="宋体" w:eastAsia="宋体" w:cs="宋体"/>
          <w:szCs w:val="21"/>
        </w:rPr>
        <w:t>日12:00:00。现将本次网上竞价结果公布如下：</w:t>
      </w:r>
    </w:p>
    <w:p>
      <w:pPr>
        <w:spacing w:line="360" w:lineRule="auto"/>
        <w:rPr>
          <w:rFonts w:ascii="宋体"/>
          <w:b/>
          <w:szCs w:val="21"/>
        </w:rPr>
      </w:pPr>
      <w:r>
        <w:rPr>
          <w:rFonts w:hint="eastAsia" w:ascii="宋体"/>
          <w:b/>
          <w:szCs w:val="21"/>
        </w:rPr>
        <w:t>一、报价情况</w:t>
      </w:r>
    </w:p>
    <w:tbl>
      <w:tblPr>
        <w:tblStyle w:val="4"/>
        <w:tblW w:w="945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21"/>
        <w:gridCol w:w="4417"/>
        <w:gridCol w:w="2812"/>
        <w:gridCol w:w="1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trPr>
        <w:tc>
          <w:tcPr>
            <w:tcW w:w="1221" w:type="dxa"/>
            <w:shd w:val="clear" w:color="auto" w:fill="auto"/>
            <w:tcMar>
              <w:top w:w="0" w:type="dxa"/>
              <w:left w:w="0" w:type="dxa"/>
              <w:bottom w:w="0" w:type="dxa"/>
              <w:right w:w="0" w:type="dxa"/>
            </w:tcMar>
            <w:vAlign w:val="center"/>
          </w:tcPr>
          <w:p>
            <w:pPr>
              <w:widowControl/>
              <w:jc w:val="center"/>
              <w:rPr>
                <w:rFonts w:ascii="宋体" w:hAnsi="宋体" w:eastAsia="宋体" w:cs="宋体"/>
                <w:b/>
                <w:bCs/>
                <w:kern w:val="0"/>
                <w:szCs w:val="21"/>
              </w:rPr>
            </w:pPr>
            <w:r>
              <w:rPr>
                <w:rFonts w:ascii="宋体" w:hAnsi="宋体" w:eastAsia="宋体" w:cs="宋体"/>
                <w:b/>
                <w:bCs/>
                <w:kern w:val="0"/>
                <w:szCs w:val="21"/>
              </w:rPr>
              <w:t>序号</w:t>
            </w:r>
          </w:p>
        </w:tc>
        <w:tc>
          <w:tcPr>
            <w:tcW w:w="4417" w:type="dxa"/>
            <w:shd w:val="clear" w:color="auto" w:fill="auto"/>
            <w:tcMar>
              <w:top w:w="0" w:type="dxa"/>
              <w:left w:w="0" w:type="dxa"/>
              <w:bottom w:w="0" w:type="dxa"/>
              <w:right w:w="0" w:type="dxa"/>
            </w:tcMar>
            <w:vAlign w:val="center"/>
          </w:tcPr>
          <w:p>
            <w:pPr>
              <w:widowControl/>
              <w:jc w:val="center"/>
              <w:rPr>
                <w:rFonts w:ascii="宋体" w:hAnsi="宋体" w:eastAsia="宋体" w:cs="宋体"/>
                <w:b/>
                <w:bCs/>
                <w:kern w:val="0"/>
                <w:szCs w:val="21"/>
              </w:rPr>
            </w:pPr>
            <w:r>
              <w:rPr>
                <w:rFonts w:ascii="宋体" w:hAnsi="宋体" w:eastAsia="宋体" w:cs="宋体"/>
                <w:b/>
                <w:bCs/>
                <w:kern w:val="0"/>
                <w:szCs w:val="21"/>
              </w:rPr>
              <w:t>供应商名称</w:t>
            </w:r>
          </w:p>
        </w:tc>
        <w:tc>
          <w:tcPr>
            <w:tcW w:w="2812" w:type="dxa"/>
            <w:shd w:val="clear" w:color="auto" w:fill="auto"/>
            <w:tcMar>
              <w:top w:w="0" w:type="dxa"/>
              <w:left w:w="0" w:type="dxa"/>
              <w:bottom w:w="0" w:type="dxa"/>
              <w:right w:w="0" w:type="dxa"/>
            </w:tcMar>
            <w:vAlign w:val="center"/>
          </w:tcPr>
          <w:p>
            <w:pPr>
              <w:widowControl/>
              <w:jc w:val="center"/>
              <w:rPr>
                <w:rFonts w:ascii="宋体" w:hAnsi="宋体" w:eastAsia="宋体" w:cs="宋体"/>
                <w:b/>
                <w:bCs/>
                <w:kern w:val="0"/>
                <w:szCs w:val="21"/>
              </w:rPr>
            </w:pPr>
            <w:r>
              <w:rPr>
                <w:rFonts w:ascii="宋体" w:hAnsi="宋体" w:eastAsia="宋体" w:cs="宋体"/>
                <w:b/>
                <w:bCs/>
                <w:kern w:val="0"/>
                <w:szCs w:val="21"/>
              </w:rPr>
              <w:t>统一折扣率</w:t>
            </w:r>
          </w:p>
        </w:tc>
        <w:tc>
          <w:tcPr>
            <w:tcW w:w="1004" w:type="dxa"/>
            <w:shd w:val="clear" w:color="auto" w:fill="auto"/>
            <w:tcMar>
              <w:top w:w="0" w:type="dxa"/>
              <w:left w:w="0" w:type="dxa"/>
              <w:bottom w:w="0" w:type="dxa"/>
              <w:right w:w="0" w:type="dxa"/>
            </w:tcMar>
            <w:vAlign w:val="center"/>
          </w:tcPr>
          <w:p>
            <w:pPr>
              <w:widowControl/>
              <w:jc w:val="center"/>
              <w:rPr>
                <w:rFonts w:ascii="宋体" w:hAnsi="宋体" w:eastAsia="宋体" w:cs="宋体"/>
                <w:b/>
                <w:bCs/>
                <w:kern w:val="0"/>
                <w:szCs w:val="21"/>
              </w:rPr>
            </w:pPr>
            <w:r>
              <w:rPr>
                <w:rFonts w:ascii="宋体" w:hAnsi="宋体" w:eastAsia="宋体" w:cs="宋体"/>
                <w:b/>
                <w:bCs/>
                <w:kern w:val="0"/>
                <w:szCs w:val="21"/>
              </w:rPr>
              <w:t>排名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trPr>
        <w:tc>
          <w:tcPr>
            <w:tcW w:w="1221"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1</w:t>
            </w:r>
          </w:p>
        </w:tc>
        <w:tc>
          <w:tcPr>
            <w:tcW w:w="4417"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Helvetica"/>
                <w:bCs/>
                <w:szCs w:val="21"/>
              </w:rPr>
              <w:t>河源市智慧网络科技有限公司</w:t>
            </w:r>
          </w:p>
        </w:tc>
        <w:tc>
          <w:tcPr>
            <w:tcW w:w="2812"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r>
              <w:rPr>
                <w:rFonts w:ascii="宋体" w:hAnsi="宋体" w:eastAsia="宋体" w:cs="宋体"/>
                <w:kern w:val="0"/>
                <w:szCs w:val="21"/>
              </w:rPr>
              <w:t>4.8%</w:t>
            </w:r>
          </w:p>
        </w:tc>
        <w:tc>
          <w:tcPr>
            <w:tcW w:w="1004"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trPr>
        <w:tc>
          <w:tcPr>
            <w:tcW w:w="1221"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2</w:t>
            </w:r>
          </w:p>
        </w:tc>
        <w:tc>
          <w:tcPr>
            <w:tcW w:w="4417"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Helvetica"/>
                <w:bCs/>
                <w:szCs w:val="21"/>
              </w:rPr>
              <w:t>惠州派尔思信息科技有限公司</w:t>
            </w:r>
          </w:p>
        </w:tc>
        <w:tc>
          <w:tcPr>
            <w:tcW w:w="2812"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r>
              <w:rPr>
                <w:rFonts w:ascii="宋体" w:hAnsi="宋体" w:eastAsia="宋体" w:cs="宋体"/>
                <w:kern w:val="0"/>
                <w:szCs w:val="21"/>
              </w:rPr>
              <w:t>1.73%</w:t>
            </w:r>
          </w:p>
        </w:tc>
        <w:tc>
          <w:tcPr>
            <w:tcW w:w="1004"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trPr>
        <w:tc>
          <w:tcPr>
            <w:tcW w:w="1221"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3</w:t>
            </w:r>
          </w:p>
        </w:tc>
        <w:tc>
          <w:tcPr>
            <w:tcW w:w="4417"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Helvetica"/>
                <w:bCs/>
                <w:szCs w:val="21"/>
              </w:rPr>
              <w:t>惠州联惠科技有限公司</w:t>
            </w:r>
          </w:p>
        </w:tc>
        <w:tc>
          <w:tcPr>
            <w:tcW w:w="2812"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94%</w:t>
            </w:r>
          </w:p>
        </w:tc>
        <w:tc>
          <w:tcPr>
            <w:tcW w:w="1004"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trPr>
        <w:tc>
          <w:tcPr>
            <w:tcW w:w="1221"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4</w:t>
            </w:r>
          </w:p>
        </w:tc>
        <w:tc>
          <w:tcPr>
            <w:tcW w:w="4417"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Helvetica"/>
                <w:bCs/>
                <w:szCs w:val="21"/>
              </w:rPr>
              <w:t>河源市胜大传媒有限公司</w:t>
            </w:r>
          </w:p>
        </w:tc>
        <w:tc>
          <w:tcPr>
            <w:tcW w:w="2812"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r>
              <w:rPr>
                <w:rFonts w:ascii="宋体" w:hAnsi="宋体" w:eastAsia="宋体" w:cs="宋体"/>
                <w:kern w:val="0"/>
                <w:szCs w:val="21"/>
              </w:rPr>
              <w:t>4.9%</w:t>
            </w:r>
          </w:p>
        </w:tc>
        <w:tc>
          <w:tcPr>
            <w:tcW w:w="1004"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ascii="宋体" w:hAnsi="宋体" w:eastAsia="宋体" w:cs="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trPr>
        <w:tc>
          <w:tcPr>
            <w:tcW w:w="1221"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4417" w:type="dxa"/>
            <w:shd w:val="clear" w:color="auto" w:fill="auto"/>
            <w:tcMar>
              <w:top w:w="0" w:type="dxa"/>
              <w:left w:w="0" w:type="dxa"/>
              <w:bottom w:w="0" w:type="dxa"/>
              <w:right w:w="0" w:type="dxa"/>
            </w:tcMar>
            <w:vAlign w:val="center"/>
          </w:tcPr>
          <w:p>
            <w:pPr>
              <w:widowControl/>
              <w:jc w:val="center"/>
              <w:rPr>
                <w:rFonts w:hint="eastAsia" w:ascii="宋体" w:hAnsi="宋体" w:eastAsia="宋体" w:cs="宋体"/>
                <w:kern w:val="0"/>
                <w:szCs w:val="21"/>
              </w:rPr>
            </w:pPr>
            <w:r>
              <w:rPr>
                <w:rFonts w:hint="eastAsia" w:ascii="宋体" w:hAnsi="宋体" w:eastAsia="宋体" w:cs="Helvetica"/>
                <w:bCs/>
                <w:szCs w:val="21"/>
              </w:rPr>
              <w:t>惠州市鸿宇办公设备有限公司</w:t>
            </w:r>
          </w:p>
        </w:tc>
        <w:tc>
          <w:tcPr>
            <w:tcW w:w="2812" w:type="dxa"/>
            <w:shd w:val="clear" w:color="auto" w:fill="auto"/>
            <w:tcMar>
              <w:top w:w="0" w:type="dxa"/>
              <w:left w:w="0" w:type="dxa"/>
              <w:bottom w:w="0" w:type="dxa"/>
              <w:right w:w="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r>
              <w:rPr>
                <w:rFonts w:ascii="宋体" w:hAnsi="宋体" w:eastAsia="宋体" w:cs="宋体"/>
                <w:kern w:val="0"/>
                <w:szCs w:val="21"/>
              </w:rPr>
              <w:t>8%</w:t>
            </w:r>
          </w:p>
        </w:tc>
        <w:tc>
          <w:tcPr>
            <w:tcW w:w="1004" w:type="dxa"/>
            <w:shd w:val="clear" w:color="auto" w:fill="auto"/>
            <w:tcMar>
              <w:top w:w="0" w:type="dxa"/>
              <w:left w:w="0" w:type="dxa"/>
              <w:bottom w:w="0" w:type="dxa"/>
              <w:right w:w="0"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r>
    </w:tbl>
    <w:p>
      <w:pPr>
        <w:spacing w:before="156" w:beforeLines="50" w:line="360" w:lineRule="auto"/>
        <w:rPr>
          <w:rFonts w:ascii="宋体"/>
          <w:b/>
          <w:szCs w:val="21"/>
        </w:rPr>
      </w:pPr>
      <w:r>
        <w:rPr>
          <w:rFonts w:hint="eastAsia" w:ascii="宋体"/>
          <w:b/>
          <w:szCs w:val="21"/>
        </w:rPr>
        <w:t>二、成交信息</w:t>
      </w:r>
    </w:p>
    <w:p>
      <w:pPr>
        <w:spacing w:line="360" w:lineRule="auto"/>
        <w:ind w:firstLine="420" w:firstLineChars="200"/>
        <w:rPr>
          <w:rFonts w:ascii="Times New Roman" w:hAnsi="Times New Roman" w:eastAsia="宋体" w:cs="Times New Roman"/>
          <w:szCs w:val="20"/>
        </w:rPr>
      </w:pPr>
      <w:r>
        <w:rPr>
          <w:rFonts w:hint="eastAsia" w:ascii="Times New Roman" w:hAnsi="Times New Roman" w:eastAsia="宋体" w:cs="Times New Roman"/>
          <w:szCs w:val="20"/>
        </w:rPr>
        <w:t>成交供应商名称：</w:t>
      </w:r>
      <w:r>
        <w:rPr>
          <w:rFonts w:hint="eastAsia" w:ascii="宋体" w:hAnsi="宋体" w:eastAsia="宋体" w:cs="宋体"/>
          <w:kern w:val="0"/>
          <w:szCs w:val="21"/>
        </w:rPr>
        <w:t>河源市智慧网络科技有限公司</w:t>
      </w:r>
    </w:p>
    <w:p>
      <w:pPr>
        <w:spacing w:line="360" w:lineRule="auto"/>
        <w:ind w:firstLine="420" w:firstLineChars="200"/>
        <w:rPr>
          <w:rFonts w:hint="eastAsia" w:ascii="Times New Roman" w:hAnsi="Times New Roman" w:eastAsia="宋体" w:cs="Times New Roman"/>
          <w:szCs w:val="20"/>
        </w:rPr>
      </w:pPr>
      <w:r>
        <w:rPr>
          <w:rFonts w:hint="eastAsia" w:ascii="Times New Roman" w:hAnsi="Times New Roman" w:eastAsia="宋体" w:cs="Times New Roman"/>
          <w:szCs w:val="20"/>
        </w:rPr>
        <w:t>成交折扣率</w:t>
      </w:r>
      <w:r>
        <w:rPr>
          <w:rFonts w:hint="eastAsia" w:ascii="宋体" w:hAnsi="宋体" w:eastAsia="宋体" w:cs="Times New Roman"/>
          <w:szCs w:val="20"/>
        </w:rPr>
        <w:t>：8</w:t>
      </w:r>
      <w:r>
        <w:rPr>
          <w:rFonts w:ascii="宋体" w:hAnsi="宋体" w:eastAsia="宋体" w:cs="Times New Roman"/>
          <w:szCs w:val="20"/>
        </w:rPr>
        <w:t>4.8%</w:t>
      </w:r>
    </w:p>
    <w:p>
      <w:pPr>
        <w:spacing w:line="360" w:lineRule="auto"/>
        <w:rPr>
          <w:rFonts w:ascii="宋体"/>
          <w:b/>
          <w:szCs w:val="21"/>
        </w:rPr>
      </w:pPr>
      <w:r>
        <w:rPr>
          <w:rFonts w:hint="eastAsia" w:ascii="宋体"/>
          <w:b/>
          <w:szCs w:val="21"/>
        </w:rPr>
        <w:t>三、采购人、采购代理机构的名称、地址和联系方式</w:t>
      </w:r>
    </w:p>
    <w:p>
      <w:pPr>
        <w:tabs>
          <w:tab w:val="left" w:pos="4680"/>
        </w:tabs>
        <w:snapToGrid w:val="0"/>
        <w:spacing w:line="360" w:lineRule="auto"/>
        <w:ind w:firstLine="105" w:firstLineChars="50"/>
        <w:rPr>
          <w:rFonts w:ascii="Tahoma" w:hAnsi="Tahoma" w:cs="Tahoma"/>
          <w:color w:val="000000"/>
        </w:rPr>
      </w:pPr>
      <w:r>
        <w:rPr>
          <w:rFonts w:hint="eastAsia" w:ascii="Tahoma" w:hAnsi="Tahoma" w:cs="Tahoma"/>
          <w:color w:val="000000"/>
        </w:rPr>
        <w:t>1、采购人联系方式</w:t>
      </w: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采购人名称：广东省广裕集团河源莲塘实业有限责任公司</w:t>
      </w:r>
    </w:p>
    <w:p>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采购人地址：河源市源城区东环路南2号</w:t>
      </w:r>
    </w:p>
    <w:p>
      <w:pPr>
        <w:snapToGrid w:val="0"/>
        <w:spacing w:line="360" w:lineRule="auto"/>
        <w:ind w:firstLine="105" w:firstLineChars="50"/>
        <w:rPr>
          <w:rFonts w:ascii="宋体" w:hAnsi="宋体" w:eastAsia="宋体" w:cs="宋体"/>
          <w:color w:val="000000"/>
        </w:rPr>
      </w:pPr>
      <w:r>
        <w:rPr>
          <w:rFonts w:hint="eastAsia" w:ascii="宋体" w:hAnsi="宋体" w:eastAsia="宋体" w:cs="宋体"/>
          <w:color w:val="000000"/>
        </w:rPr>
        <w:t>2、采购代理机构名称、地址和联系方式</w:t>
      </w:r>
    </w:p>
    <w:p>
      <w:pPr>
        <w:snapToGrid w:val="0"/>
        <w:spacing w:line="360" w:lineRule="auto"/>
        <w:ind w:firstLine="420" w:firstLineChars="200"/>
        <w:rPr>
          <w:rFonts w:ascii="宋体" w:hAnsi="宋体" w:eastAsia="宋体" w:cs="宋体"/>
          <w:color w:val="000000"/>
        </w:rPr>
      </w:pPr>
      <w:r>
        <w:rPr>
          <w:rFonts w:hint="eastAsia" w:ascii="宋体" w:hAnsi="宋体" w:eastAsia="宋体" w:cs="宋体"/>
          <w:color w:val="000000"/>
        </w:rPr>
        <w:t>采购代理机构名称：广州顺为招标采购有限公司（网址：</w:t>
      </w:r>
      <w:r>
        <w:fldChar w:fldCharType="begin"/>
      </w:r>
      <w:r>
        <w:instrText xml:space="preserve"> HYPERLINK "http://www.gzswbc.com" </w:instrText>
      </w:r>
      <w:r>
        <w:fldChar w:fldCharType="separate"/>
      </w:r>
      <w:r>
        <w:rPr>
          <w:rStyle w:val="7"/>
          <w:rFonts w:hint="eastAsia" w:ascii="宋体" w:hAnsi="宋体" w:eastAsia="宋体" w:cs="宋体"/>
          <w:color w:val="000000"/>
        </w:rPr>
        <w:t>www.gzswbc.com</w:t>
      </w:r>
      <w:r>
        <w:rPr>
          <w:rStyle w:val="7"/>
          <w:rFonts w:hint="eastAsia" w:ascii="宋体" w:hAnsi="宋体" w:eastAsia="宋体" w:cs="宋体"/>
          <w:color w:val="000000"/>
        </w:rPr>
        <w:fldChar w:fldCharType="end"/>
      </w:r>
      <w:r>
        <w:rPr>
          <w:rFonts w:hint="eastAsia" w:ascii="宋体" w:hAnsi="宋体" w:eastAsia="宋体" w:cs="宋体"/>
          <w:color w:val="000000"/>
        </w:rPr>
        <w:t>）</w:t>
      </w:r>
    </w:p>
    <w:p>
      <w:pPr>
        <w:snapToGrid w:val="0"/>
        <w:spacing w:line="360" w:lineRule="auto"/>
        <w:ind w:firstLine="420" w:firstLineChars="200"/>
        <w:rPr>
          <w:rFonts w:ascii="宋体" w:hAnsi="宋体" w:eastAsia="宋体" w:cs="宋体"/>
          <w:color w:val="000000"/>
        </w:rPr>
      </w:pPr>
      <w:r>
        <w:rPr>
          <w:rFonts w:hint="eastAsia" w:ascii="宋体" w:hAnsi="宋体" w:eastAsia="宋体" w:cs="宋体"/>
          <w:color w:val="000000"/>
        </w:rPr>
        <w:t>采购代理机构地点：广州市环市中路205号恒生大厦B座501室</w:t>
      </w:r>
    </w:p>
    <w:p>
      <w:pPr>
        <w:snapToGrid w:val="0"/>
        <w:spacing w:line="360" w:lineRule="auto"/>
        <w:ind w:firstLine="420" w:firstLineChars="200"/>
        <w:rPr>
          <w:rFonts w:ascii="宋体" w:hAnsi="宋体" w:eastAsia="宋体" w:cs="宋体"/>
          <w:color w:val="000000"/>
        </w:rPr>
      </w:pPr>
      <w:r>
        <w:rPr>
          <w:rFonts w:hint="eastAsia" w:ascii="宋体" w:hAnsi="宋体" w:eastAsia="宋体" w:cs="宋体"/>
          <w:color w:val="000000"/>
        </w:rPr>
        <w:t>采购代理机构联系人：李小姐</w:t>
      </w:r>
    </w:p>
    <w:p>
      <w:pPr>
        <w:snapToGrid w:val="0"/>
        <w:spacing w:line="360" w:lineRule="auto"/>
        <w:ind w:firstLine="420" w:firstLineChars="200"/>
        <w:rPr>
          <w:rFonts w:ascii="宋体" w:hAnsi="宋体" w:eastAsia="宋体" w:cs="宋体"/>
          <w:color w:val="000000"/>
        </w:rPr>
      </w:pPr>
      <w:r>
        <w:rPr>
          <w:rFonts w:hint="eastAsia" w:ascii="宋体" w:hAnsi="宋体" w:eastAsia="宋体" w:cs="宋体"/>
          <w:color w:val="000000"/>
        </w:rPr>
        <w:t>采购代理机构联系电话：020-83592216</w:t>
      </w:r>
    </w:p>
    <w:p>
      <w:pPr>
        <w:snapToGrid w:val="0"/>
        <w:spacing w:line="360" w:lineRule="auto"/>
        <w:ind w:firstLine="420" w:firstLineChars="200"/>
        <w:rPr>
          <w:rFonts w:ascii="宋体" w:hAnsi="宋体" w:eastAsia="宋体" w:cs="宋体"/>
          <w:color w:val="000000"/>
        </w:rPr>
      </w:pPr>
      <w:r>
        <w:rPr>
          <w:rFonts w:hint="eastAsia" w:ascii="宋体" w:hAnsi="宋体" w:eastAsia="宋体" w:cs="宋体"/>
          <w:color w:val="000000"/>
        </w:rPr>
        <w:t xml:space="preserve">采购代理机构传真：020-83595411   </w:t>
      </w:r>
    </w:p>
    <w:p>
      <w:pPr>
        <w:snapToGrid w:val="0"/>
        <w:spacing w:line="360" w:lineRule="auto"/>
        <w:ind w:firstLine="420" w:firstLineChars="200"/>
        <w:rPr>
          <w:rFonts w:ascii="宋体" w:hAnsi="宋体" w:cs="Tahoma"/>
          <w:color w:val="000000"/>
        </w:rPr>
      </w:pPr>
      <w:r>
        <w:rPr>
          <w:rFonts w:hint="eastAsia" w:ascii="宋体" w:hAnsi="宋体" w:cs="Tahoma"/>
          <w:color w:val="000000"/>
        </w:rPr>
        <w:t>采购项目联系人姓名：刘先生</w:t>
      </w:r>
    </w:p>
    <w:p>
      <w:pPr>
        <w:snapToGrid w:val="0"/>
        <w:spacing w:line="360" w:lineRule="auto"/>
        <w:ind w:firstLine="420" w:firstLineChars="200"/>
        <w:rPr>
          <w:rFonts w:ascii="宋体" w:hAnsi="宋体" w:cs="Tahoma"/>
          <w:color w:val="000000"/>
        </w:rPr>
      </w:pPr>
      <w:r>
        <w:rPr>
          <w:rFonts w:hint="eastAsia" w:ascii="宋体" w:hAnsi="宋体" w:cs="Tahoma"/>
          <w:color w:val="000000"/>
        </w:rPr>
        <w:t>采购项目联系人电话：020-83592216-839</w:t>
      </w:r>
    </w:p>
    <w:p>
      <w:pPr>
        <w:tabs>
          <w:tab w:val="left" w:pos="4680"/>
        </w:tabs>
        <w:snapToGrid w:val="0"/>
        <w:spacing w:line="360" w:lineRule="auto"/>
        <w:ind w:firstLine="420" w:firstLineChars="200"/>
        <w:rPr>
          <w:rFonts w:ascii="Tahoma" w:hAnsi="Tahoma" w:cs="Tahoma"/>
        </w:rPr>
      </w:pPr>
    </w:p>
    <w:p>
      <w:pPr>
        <w:wordWrap w:val="0"/>
        <w:snapToGrid w:val="0"/>
        <w:spacing w:line="360" w:lineRule="auto"/>
        <w:ind w:right="1008" w:rightChars="480"/>
        <w:jc w:val="right"/>
        <w:rPr>
          <w:rFonts w:hint="eastAsia" w:ascii="Tahoma" w:hAnsi="Tahoma" w:eastAsia="宋体" w:cs="Tahoma"/>
          <w:lang w:val="en-US" w:eastAsia="zh-CN"/>
        </w:rPr>
      </w:pPr>
      <w:r>
        <w:rPr>
          <w:rFonts w:hint="eastAsia" w:ascii="Tahoma" w:hAnsi="Tahoma" w:eastAsia="宋体" w:cs="Tahoma"/>
          <w:lang w:val="en-US" w:eastAsia="zh-CN"/>
        </w:rPr>
        <w:t>广东省河源监狱</w:t>
      </w:r>
    </w:p>
    <w:p>
      <w:pPr>
        <w:wordWrap/>
        <w:snapToGrid w:val="0"/>
        <w:spacing w:line="360" w:lineRule="auto"/>
        <w:ind w:right="1008" w:rightChars="480"/>
        <w:jc w:val="right"/>
        <w:rPr>
          <w:rFonts w:hint="default" w:ascii="Tahoma" w:hAnsi="Tahoma" w:eastAsia="宋体" w:cs="Tahoma"/>
          <w:lang w:val="en-US" w:eastAsia="zh-CN"/>
        </w:rPr>
      </w:pPr>
      <w:r>
        <w:rPr>
          <w:rFonts w:hint="eastAsia" w:ascii="Tahoma" w:hAnsi="Tahoma" w:eastAsia="宋体" w:cs="Tahoma"/>
          <w:lang w:val="en-US" w:eastAsia="zh-CN"/>
        </w:rPr>
        <w:t>2024年12月12</w:t>
      </w:r>
      <w:bookmarkStart w:id="0" w:name="_GoBack"/>
      <w:bookmarkEnd w:id="0"/>
      <w:r>
        <w:rPr>
          <w:rFonts w:hint="eastAsia" w:ascii="Tahoma" w:hAnsi="Tahoma" w:eastAsia="宋体" w:cs="Tahoma"/>
          <w:lang w:val="en-US" w:eastAsia="zh-CN"/>
        </w:rPr>
        <w:t>日</w:t>
      </w:r>
    </w:p>
    <w:sectPr>
      <w:pgSz w:w="11906" w:h="16838"/>
      <w:pgMar w:top="1701" w:right="158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k5N2U4MWE1NDE4NGFjMjgzY2E4Y2IwMTY5NGNlMTYifQ=="/>
  </w:docVars>
  <w:rsids>
    <w:rsidRoot w:val="3F4E4B32"/>
    <w:rsid w:val="00364AA7"/>
    <w:rsid w:val="003D7E0E"/>
    <w:rsid w:val="003F5F44"/>
    <w:rsid w:val="00444687"/>
    <w:rsid w:val="004E79C0"/>
    <w:rsid w:val="005A69D7"/>
    <w:rsid w:val="005F0995"/>
    <w:rsid w:val="00637240"/>
    <w:rsid w:val="006A258F"/>
    <w:rsid w:val="006F1709"/>
    <w:rsid w:val="0076376D"/>
    <w:rsid w:val="007A2E2B"/>
    <w:rsid w:val="007D5C56"/>
    <w:rsid w:val="00850F26"/>
    <w:rsid w:val="008A66C4"/>
    <w:rsid w:val="00A54ABE"/>
    <w:rsid w:val="00A66CA1"/>
    <w:rsid w:val="00A964C2"/>
    <w:rsid w:val="00AE19E3"/>
    <w:rsid w:val="00D95D1E"/>
    <w:rsid w:val="00EB3F39"/>
    <w:rsid w:val="01151EF5"/>
    <w:rsid w:val="01C57729"/>
    <w:rsid w:val="03E60979"/>
    <w:rsid w:val="0475481B"/>
    <w:rsid w:val="05C70C5E"/>
    <w:rsid w:val="06804D22"/>
    <w:rsid w:val="06CD2D00"/>
    <w:rsid w:val="077C2591"/>
    <w:rsid w:val="08292732"/>
    <w:rsid w:val="0B546ACA"/>
    <w:rsid w:val="0F261C90"/>
    <w:rsid w:val="1299535A"/>
    <w:rsid w:val="137E1EBF"/>
    <w:rsid w:val="1447354D"/>
    <w:rsid w:val="1CE923F6"/>
    <w:rsid w:val="1D223B3F"/>
    <w:rsid w:val="1F717B8B"/>
    <w:rsid w:val="21515EC7"/>
    <w:rsid w:val="21E02BF2"/>
    <w:rsid w:val="2261646C"/>
    <w:rsid w:val="2277259E"/>
    <w:rsid w:val="252C0572"/>
    <w:rsid w:val="26446CA9"/>
    <w:rsid w:val="26D37056"/>
    <w:rsid w:val="270A69E3"/>
    <w:rsid w:val="27B0655A"/>
    <w:rsid w:val="285D3EC8"/>
    <w:rsid w:val="2CA21C8D"/>
    <w:rsid w:val="30770968"/>
    <w:rsid w:val="36D31992"/>
    <w:rsid w:val="3794610E"/>
    <w:rsid w:val="3A9B44DE"/>
    <w:rsid w:val="3B7E5978"/>
    <w:rsid w:val="3D3E5592"/>
    <w:rsid w:val="3DC2573F"/>
    <w:rsid w:val="3DEE2705"/>
    <w:rsid w:val="3F4E4B32"/>
    <w:rsid w:val="42075FB2"/>
    <w:rsid w:val="429C6603"/>
    <w:rsid w:val="42EC573B"/>
    <w:rsid w:val="436A1745"/>
    <w:rsid w:val="43DB2471"/>
    <w:rsid w:val="4C1E504D"/>
    <w:rsid w:val="4D2E3170"/>
    <w:rsid w:val="51C869A4"/>
    <w:rsid w:val="53CB5202"/>
    <w:rsid w:val="54305901"/>
    <w:rsid w:val="550A36AA"/>
    <w:rsid w:val="570563B0"/>
    <w:rsid w:val="5D752F8A"/>
    <w:rsid w:val="633F3BCA"/>
    <w:rsid w:val="69096537"/>
    <w:rsid w:val="6C357761"/>
    <w:rsid w:val="6C5C4580"/>
    <w:rsid w:val="6DAB0F98"/>
    <w:rsid w:val="6EFD0D05"/>
    <w:rsid w:val="735413E0"/>
    <w:rsid w:val="76ED2467"/>
    <w:rsid w:val="77230514"/>
    <w:rsid w:val="7850360E"/>
    <w:rsid w:val="787955C5"/>
    <w:rsid w:val="799B4B0F"/>
    <w:rsid w:val="79E6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0"/>
    <w:pPr>
      <w:tabs>
        <w:tab w:val="center" w:pos="4153"/>
        <w:tab w:val="right" w:pos="8306"/>
      </w:tabs>
      <w:snapToGrid w:val="0"/>
      <w:jc w:val="left"/>
    </w:pPr>
    <w:rPr>
      <w:sz w:val="18"/>
      <w:szCs w:val="18"/>
    </w:rPr>
  </w:style>
  <w:style w:type="paragraph" w:styleId="3">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Hyperlink"/>
    <w:qFormat/>
    <w:uiPriority w:val="0"/>
    <w:rPr>
      <w:color w:val="0000FF"/>
      <w:u w:val="single"/>
    </w:rPr>
  </w:style>
  <w:style w:type="character" w:customStyle="1" w:styleId="8">
    <w:name w:val="font11"/>
    <w:basedOn w:val="5"/>
    <w:uiPriority w:val="0"/>
    <w:rPr>
      <w:rFonts w:ascii="Helvetica" w:hAnsi="Helvetica" w:eastAsia="Helvetica" w:cs="Helvetica"/>
      <w:color w:val="333333"/>
      <w:sz w:val="19"/>
      <w:szCs w:val="19"/>
      <w:u w:val="none"/>
    </w:rPr>
  </w:style>
  <w:style w:type="character" w:customStyle="1" w:styleId="9">
    <w:name w:val="font21"/>
    <w:basedOn w:val="5"/>
    <w:uiPriority w:val="0"/>
    <w:rPr>
      <w:rFonts w:hint="eastAsia" w:ascii="宋体" w:hAnsi="宋体" w:eastAsia="宋体" w:cs="宋体"/>
      <w:color w:val="333333"/>
      <w:sz w:val="19"/>
      <w:szCs w:val="19"/>
      <w:u w:val="none"/>
    </w:rPr>
  </w:style>
  <w:style w:type="character" w:customStyle="1" w:styleId="10">
    <w:name w:val="页眉 Char"/>
    <w:basedOn w:val="5"/>
    <w:link w:val="3"/>
    <w:qFormat/>
    <w:uiPriority w:val="0"/>
    <w:rPr>
      <w:rFonts w:asciiTheme="minorHAnsi" w:hAnsiTheme="minorHAnsi" w:eastAsiaTheme="minorEastAsia" w:cstheme="minorBidi"/>
      <w:kern w:val="2"/>
      <w:sz w:val="18"/>
      <w:szCs w:val="18"/>
    </w:rPr>
  </w:style>
  <w:style w:type="character" w:customStyle="1" w:styleId="11">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708</Characters>
  <Lines>5</Lines>
  <Paragraphs>1</Paragraphs>
  <TotalTime>35</TotalTime>
  <ScaleCrop>false</ScaleCrop>
  <LinksUpToDate>false</LinksUpToDate>
  <CharactersWithSpaces>831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2020-04-29T07:42:00Z</dcterms:created>
  <dc:creator>顺为831</dc:creator>
  <cp:lastModifiedBy>陈志</cp:lastModifiedBy>
  <dcterms:modified xsi:type="dcterms:W3CDTF">2024-12-12T00:49:15Z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EE4F3F259C654581B7C6596108F9FFE7</vt:lpwstr>
  </property>
</Properties>
</file>