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2024073    </w:t>
      </w:r>
      <w:r>
        <w:rPr>
          <w:rFonts w:hint="eastAsia" w:ascii="仿宋_GB2312" w:hAnsi="宋体" w:eastAsia="仿宋_GB2312"/>
          <w:i w:val="0"/>
          <w:iCs w:val="0"/>
          <w:sz w:val="32"/>
          <w:szCs w:val="32"/>
          <w:u w:val="single"/>
          <w:lang w:val="en-US" w:eastAsia="zh-CN"/>
        </w:rPr>
        <w:t xml:space="preserve">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sz w:val="32"/>
          <w:szCs w:val="32"/>
          <w:u w:val="single"/>
          <w:lang w:val="en-US" w:eastAsia="zh-CN"/>
        </w:rPr>
        <w:t xml:space="preserve">广东省河源监狱空气能热水器采购项目  </w:t>
      </w:r>
    </w:p>
    <w:p>
      <w:pPr>
        <w:ind w:left="0" w:leftChars="0" w:firstLine="640" w:firstLineChars="200"/>
        <w:rPr>
          <w:rFonts w:hint="default" w:eastAsiaTheme="minorEastAsia"/>
          <w:sz w:val="32"/>
          <w:szCs w:val="32"/>
          <w:lang w:val="en-US" w:eastAsia="zh-CN"/>
        </w:rPr>
      </w:pPr>
      <w:r>
        <w:rPr>
          <w:rFonts w:hint="eastAsia"/>
          <w:sz w:val="32"/>
          <w:szCs w:val="32"/>
        </w:rPr>
        <w:t>采购方式：</w:t>
      </w:r>
      <w:r>
        <w:rPr>
          <w:rFonts w:hint="eastAsia"/>
          <w:sz w:val="32"/>
          <w:szCs w:val="32"/>
          <w:u w:val="single"/>
          <w:lang w:val="en-US" w:eastAsia="zh-CN"/>
        </w:rPr>
        <w:t xml:space="preserve">   比价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1"/>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2024</w:t>
      </w:r>
      <w:r>
        <w:rPr>
          <w:rFonts w:hint="eastAsia"/>
          <w:sz w:val="32"/>
          <w:szCs w:val="32"/>
        </w:rPr>
        <w:t>年</w:t>
      </w:r>
      <w:r>
        <w:rPr>
          <w:rFonts w:hint="eastAsia"/>
          <w:sz w:val="32"/>
          <w:szCs w:val="32"/>
          <w:lang w:val="en-US" w:eastAsia="zh-CN"/>
        </w:rPr>
        <w:t>12</w:t>
      </w:r>
      <w:r>
        <w:rPr>
          <w:rFonts w:hint="eastAsia"/>
          <w:sz w:val="32"/>
          <w:szCs w:val="32"/>
        </w:rPr>
        <w:t>月</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8"/>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9</w:t>
      </w:r>
    </w:p>
    <w:p>
      <w:pPr>
        <w:rPr>
          <w:rFonts w:hint="eastAsia"/>
        </w:rPr>
      </w:pPr>
    </w:p>
    <w:p>
      <w:pPr>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rPr>
          <w:rFonts w:hint="eastAsia"/>
        </w:rPr>
      </w:pPr>
    </w:p>
    <w:p>
      <w:pPr>
        <w:rPr>
          <w:rFonts w:hint="eastAsia"/>
        </w:rPr>
      </w:pPr>
    </w:p>
    <w:p>
      <w:pPr>
        <w:pageBreakBefore w:val="0"/>
        <w:numPr>
          <w:ilvl w:val="0"/>
          <w:numId w:val="2"/>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1"/>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比价</w:t>
      </w:r>
      <w:r>
        <w:rPr>
          <w:rFonts w:hint="eastAsia"/>
        </w:rPr>
        <w:t>采购失败，采购人将重新采购，届时采购人有权根据项目具体情况，决定重新采购项目的采购方式；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比价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6"/>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eastAsiaTheme="minorEastAsia" w:cstheme="minorEastAsia"/>
          <w:sz w:val="21"/>
          <w:szCs w:val="21"/>
          <w:lang w:eastAsia="zh-CN"/>
        </w:rPr>
        <w:t>比价</w:t>
      </w:r>
      <w:r>
        <w:rPr>
          <w:rFonts w:hint="eastAsia" w:asciiTheme="minorEastAsia" w:hAnsiTheme="minorEastAsia" w:eastAsiaTheme="minorEastAsia" w:cstheme="minorEastAsia"/>
          <w:sz w:val="21"/>
          <w:szCs w:val="21"/>
        </w:rPr>
        <w:t>文件资料承担责任。</w:t>
      </w:r>
    </w:p>
    <w:p>
      <w:pPr>
        <w:pStyle w:val="16"/>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家，投标报价最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比价文件中，如标有“★”的条款均为必须完全满足指标，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1"/>
        <w:pageBreakBefore w:val="0"/>
        <w:kinsoku/>
        <w:wordWrap/>
        <w:overflowPunct/>
        <w:topLinePunct w:val="0"/>
        <w:bidi w:val="0"/>
        <w:spacing w:line="340" w:lineRule="exact"/>
        <w:rPr>
          <w:rFonts w:hint="eastAsia"/>
          <w:lang w:eastAsia="zh-CN"/>
        </w:rPr>
      </w:pPr>
    </w:p>
    <w:p>
      <w:pPr>
        <w:pStyle w:val="21"/>
        <w:pageBreakBefore w:val="0"/>
        <w:kinsoku/>
        <w:wordWrap/>
        <w:overflowPunct/>
        <w:topLinePunct w:val="0"/>
        <w:bidi w:val="0"/>
        <w:spacing w:line="340" w:lineRule="exact"/>
        <w:rPr>
          <w:rFonts w:hint="eastAsia"/>
          <w:lang w:eastAsia="zh-CN"/>
        </w:rPr>
      </w:pPr>
    </w:p>
    <w:p>
      <w:pPr>
        <w:pStyle w:val="21"/>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both"/>
        <w:textAlignment w:val="auto"/>
        <w:outlineLvl w:val="9"/>
        <w:rPr>
          <w:rFonts w:hint="eastAsia" w:asciiTheme="minorEastAsia" w:hAnsiTheme="minorEastAsia" w:eastAsiaTheme="minorEastAsia" w:cstheme="minorEastAsia"/>
          <w:b/>
          <w:bCs/>
          <w:sz w:val="21"/>
          <w:szCs w:val="21"/>
        </w:rPr>
      </w:pPr>
    </w:p>
    <w:p>
      <w:pPr>
        <w:numPr>
          <w:ilvl w:val="0"/>
          <w:numId w:val="0"/>
        </w:numPr>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lang w:eastAsia="zh-CN"/>
        </w:rPr>
        <w:t>项目概</w:t>
      </w:r>
      <w:r>
        <w:rPr>
          <w:rFonts w:hint="eastAsia" w:asciiTheme="minorEastAsia" w:hAnsiTheme="minorEastAsia" w:eastAsiaTheme="minorEastAsia" w:cstheme="minorEastAsia"/>
          <w:sz w:val="21"/>
          <w:szCs w:val="21"/>
          <w:lang w:val="en-US" w:eastAsia="zh-CN"/>
        </w:rPr>
        <w:t>况</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采购人拟购</w:t>
      </w:r>
      <w:r>
        <w:rPr>
          <w:rFonts w:hint="eastAsia" w:asciiTheme="minorEastAsia" w:hAnsiTheme="minorEastAsia" w:eastAsiaTheme="minorEastAsia" w:cstheme="minorEastAsia"/>
          <w:b w:val="0"/>
          <w:bCs w:val="0"/>
          <w:sz w:val="21"/>
          <w:szCs w:val="21"/>
          <w:lang w:val="en-US" w:eastAsia="zh-CN"/>
        </w:rPr>
        <w:t>置10吨10P空气能热水器及配套设施。</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lang w:val="en-US" w:eastAsia="zh-CN"/>
        </w:rPr>
        <w:t>项目预算：49670元。</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三、标的数量及技术规格</w:t>
      </w:r>
    </w:p>
    <w:tbl>
      <w:tblPr>
        <w:tblStyle w:val="19"/>
        <w:tblpPr w:leftFromText="180" w:rightFromText="180" w:vertAnchor="text" w:horzAnchor="page" w:tblpXSpec="center" w:tblpY="244"/>
        <w:tblOverlap w:val="never"/>
        <w:tblW w:w="8940" w:type="dxa"/>
        <w:jc w:val="center"/>
        <w:tblInd w:w="0" w:type="dxa"/>
        <w:shd w:val="clear" w:color="auto" w:fill="auto"/>
        <w:tblLayout w:type="fixed"/>
        <w:tblCellMar>
          <w:top w:w="0" w:type="dxa"/>
          <w:left w:w="0" w:type="dxa"/>
          <w:bottom w:w="0" w:type="dxa"/>
          <w:right w:w="0" w:type="dxa"/>
        </w:tblCellMar>
      </w:tblPr>
      <w:tblGrid>
        <w:gridCol w:w="806"/>
        <w:gridCol w:w="2469"/>
        <w:gridCol w:w="816"/>
        <w:gridCol w:w="861"/>
        <w:gridCol w:w="1069"/>
        <w:gridCol w:w="1033"/>
        <w:gridCol w:w="1886"/>
      </w:tblGrid>
      <w:tr>
        <w:tblPrEx>
          <w:tblLayout w:type="fixed"/>
          <w:tblCellMar>
            <w:top w:w="0" w:type="dxa"/>
            <w:left w:w="0" w:type="dxa"/>
            <w:bottom w:w="0" w:type="dxa"/>
            <w:right w:w="0" w:type="dxa"/>
          </w:tblCellMar>
        </w:tblPrEx>
        <w:trPr>
          <w:trHeight w:val="691"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序号</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项目名称</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单位</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数量</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单价</w:t>
            </w:r>
            <w:r>
              <w:rPr>
                <w:rFonts w:hint="eastAsia" w:asciiTheme="minorEastAsia" w:hAnsiTheme="minorEastAsia" w:cstheme="minorEastAsia"/>
                <w:b w:val="0"/>
                <w:bCs w:val="0"/>
                <w:sz w:val="21"/>
                <w:szCs w:val="21"/>
                <w:lang w:val="en-US" w:eastAsia="zh-CN"/>
              </w:rPr>
              <w:t>最高限价（元）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小计</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（元）</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备注</w:t>
            </w:r>
          </w:p>
        </w:tc>
      </w:tr>
      <w:tr>
        <w:tblPrEx>
          <w:tblLayout w:type="fixed"/>
          <w:tblCellMar>
            <w:top w:w="0" w:type="dxa"/>
            <w:left w:w="0" w:type="dxa"/>
            <w:bottom w:w="0" w:type="dxa"/>
            <w:right w:w="0" w:type="dxa"/>
          </w:tblCellMar>
        </w:tblPrEx>
        <w:trPr>
          <w:trHeight w:val="882"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10吨10P神沐福牌空气能</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热水器（不含水箱）</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部</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33000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33000</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含控制电箱</w:t>
            </w:r>
          </w:p>
        </w:tc>
      </w:tr>
      <w:tr>
        <w:tblPrEx>
          <w:tblLayout w:type="fixed"/>
          <w:tblCellMar>
            <w:top w:w="0" w:type="dxa"/>
            <w:left w:w="0" w:type="dxa"/>
            <w:bottom w:w="0" w:type="dxa"/>
            <w:right w:w="0" w:type="dxa"/>
          </w:tblCellMar>
        </w:tblPrEx>
        <w:trPr>
          <w:trHeight w:val="6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接待室给水管￠25PPR</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米</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1800</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含铺设</w:t>
            </w:r>
          </w:p>
        </w:tc>
      </w:tr>
      <w:tr>
        <w:tblPrEx>
          <w:tblLayout w:type="fixed"/>
          <w:tblCellMar>
            <w:top w:w="0" w:type="dxa"/>
            <w:left w:w="0" w:type="dxa"/>
            <w:bottom w:w="0" w:type="dxa"/>
            <w:right w:w="0" w:type="dxa"/>
          </w:tblCellMar>
        </w:tblPrEx>
        <w:trPr>
          <w:trHeight w:val="6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空气能热水管道￠63PPR</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米</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45</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2250</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含保温棉</w:t>
            </w:r>
          </w:p>
        </w:tc>
      </w:tr>
      <w:tr>
        <w:tblPrEx>
          <w:tblLayout w:type="fixed"/>
          <w:tblCellMar>
            <w:top w:w="0" w:type="dxa"/>
            <w:left w:w="0" w:type="dxa"/>
            <w:bottom w:w="0" w:type="dxa"/>
            <w:right w:w="0" w:type="dxa"/>
          </w:tblCellMar>
        </w:tblPrEx>
        <w:trPr>
          <w:trHeight w:val="6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空气能主线10mm2</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米</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1800</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含铺设</w:t>
            </w:r>
          </w:p>
        </w:tc>
      </w:tr>
      <w:tr>
        <w:tblPrEx>
          <w:tblLayout w:type="fixed"/>
          <w:tblCellMar>
            <w:top w:w="0" w:type="dxa"/>
            <w:left w:w="0" w:type="dxa"/>
            <w:bottom w:w="0" w:type="dxa"/>
            <w:right w:w="0" w:type="dxa"/>
          </w:tblCellMar>
        </w:tblPrEx>
        <w:trPr>
          <w:trHeight w:val="6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加压水泵、回水泵</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4500</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含控制电箱、挡雨棚</w:t>
            </w:r>
          </w:p>
        </w:tc>
      </w:tr>
      <w:tr>
        <w:tblPrEx>
          <w:tblLayout w:type="fixed"/>
          <w:tblCellMar>
            <w:top w:w="0" w:type="dxa"/>
            <w:left w:w="0" w:type="dxa"/>
            <w:bottom w:w="0" w:type="dxa"/>
            <w:right w:w="0" w:type="dxa"/>
          </w:tblCellMar>
        </w:tblPrEx>
        <w:trPr>
          <w:trHeight w:val="6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ZR-BV2.5电线铺设</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米</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320</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含铺设</w:t>
            </w:r>
          </w:p>
        </w:tc>
      </w:tr>
      <w:tr>
        <w:tblPrEx>
          <w:tblLayout w:type="fixed"/>
          <w:tblCellMar>
            <w:top w:w="0" w:type="dxa"/>
            <w:left w:w="0" w:type="dxa"/>
            <w:bottom w:w="0" w:type="dxa"/>
            <w:right w:w="0" w:type="dxa"/>
          </w:tblCellMar>
        </w:tblPrEx>
        <w:trPr>
          <w:trHeight w:val="6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7</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阳光杰尼花洒淋浴</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套</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6000</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整套设备</w:t>
            </w:r>
          </w:p>
        </w:tc>
      </w:tr>
      <w:tr>
        <w:tblPrEx>
          <w:tblLayout w:type="fixed"/>
          <w:tblCellMar>
            <w:top w:w="0" w:type="dxa"/>
            <w:left w:w="0" w:type="dxa"/>
            <w:bottom w:w="0" w:type="dxa"/>
            <w:right w:w="0" w:type="dxa"/>
          </w:tblCellMar>
        </w:tblPrEx>
        <w:trPr>
          <w:trHeight w:val="63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8</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合计</w:t>
            </w:r>
            <w:r>
              <w:rPr>
                <w:rFonts w:hint="eastAsia" w:asciiTheme="minorEastAsia" w:hAnsiTheme="minorEastAsia" w:cstheme="minorEastAsia"/>
                <w:b w:val="0"/>
                <w:bCs w:val="0"/>
                <w:sz w:val="21"/>
                <w:szCs w:val="21"/>
                <w:lang w:val="en-US" w:eastAsia="zh-CN"/>
              </w:rPr>
              <w:t>（元）</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49670</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四、服务标准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（一）本项目所涉及的货物必须为合法制造商制造的全新产品，整体无污染，表面无划损，无任何缺</w:t>
      </w:r>
      <w:r>
        <w:rPr>
          <w:rFonts w:hint="eastAsia" w:asciiTheme="minorEastAsia" w:hAnsiTheme="minorEastAsia" w:eastAsiaTheme="minorEastAsia" w:cstheme="minorEastAsia"/>
          <w:b w:val="0"/>
          <w:bCs w:val="0"/>
          <w:sz w:val="21"/>
          <w:szCs w:val="21"/>
          <w:lang w:eastAsia="zh-CN"/>
        </w:rPr>
        <w:t>陷隐患，</w:t>
      </w:r>
      <w:r>
        <w:rPr>
          <w:rFonts w:hint="eastAsia" w:asciiTheme="minorEastAsia" w:hAnsiTheme="minorEastAsia" w:eastAsiaTheme="minorEastAsia" w:cstheme="minorEastAsia"/>
          <w:b w:val="0"/>
          <w:bCs w:val="0"/>
          <w:sz w:val="21"/>
          <w:szCs w:val="21"/>
        </w:rPr>
        <w:t>必须符合国家有关部门的质量</w:t>
      </w:r>
      <w:r>
        <w:rPr>
          <w:rFonts w:hint="eastAsia" w:asciiTheme="minorEastAsia" w:hAnsiTheme="minorEastAsia" w:eastAsiaTheme="minorEastAsia" w:cstheme="minorEastAsia"/>
          <w:b w:val="0"/>
          <w:bCs w:val="0"/>
          <w:sz w:val="21"/>
          <w:szCs w:val="21"/>
          <w:lang w:eastAsia="zh-CN"/>
        </w:rPr>
        <w:t>要求，并按厂家提供的标准执行售后服务。</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（二）供应商</w:t>
      </w:r>
      <w:r>
        <w:rPr>
          <w:rFonts w:hint="eastAsia" w:asciiTheme="minorEastAsia" w:hAnsiTheme="minorEastAsia" w:eastAsiaTheme="minorEastAsia" w:cstheme="minorEastAsia"/>
          <w:b w:val="0"/>
          <w:bCs w:val="0"/>
          <w:sz w:val="21"/>
          <w:szCs w:val="21"/>
        </w:rPr>
        <w:t>须严格按商品的名称</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规格型号、单价供货</w:t>
      </w:r>
      <w:r>
        <w:rPr>
          <w:rFonts w:hint="eastAsia" w:asciiTheme="minorEastAsia" w:hAnsiTheme="minorEastAsia" w:eastAsiaTheme="minorEastAsia" w:cstheme="minor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（三）如</w:t>
      </w:r>
      <w:r>
        <w:rPr>
          <w:rFonts w:hint="eastAsia" w:asciiTheme="minorEastAsia" w:hAnsiTheme="minorEastAsia" w:eastAsiaTheme="minorEastAsia" w:cstheme="minorEastAsia"/>
          <w:b w:val="0"/>
          <w:bCs w:val="0"/>
          <w:sz w:val="21"/>
          <w:szCs w:val="21"/>
          <w:lang w:eastAsia="zh-CN"/>
        </w:rPr>
        <w:t>供货商品的生产</w:t>
      </w:r>
      <w:r>
        <w:rPr>
          <w:rFonts w:hint="eastAsia" w:asciiTheme="minorEastAsia" w:hAnsiTheme="minorEastAsia" w:eastAsiaTheme="minorEastAsia" w:cstheme="minorEastAsia"/>
          <w:b w:val="0"/>
          <w:bCs w:val="0"/>
          <w:sz w:val="21"/>
          <w:szCs w:val="21"/>
        </w:rPr>
        <w:t>厂家停止生产</w:t>
      </w:r>
      <w:r>
        <w:rPr>
          <w:rFonts w:hint="eastAsia" w:asciiTheme="minorEastAsia" w:hAnsiTheme="minorEastAsia" w:eastAsiaTheme="minorEastAsia" w:cstheme="minorEastAsia"/>
          <w:b w:val="0"/>
          <w:bCs w:val="0"/>
          <w:sz w:val="21"/>
          <w:szCs w:val="21"/>
          <w:lang w:eastAsia="zh-CN"/>
        </w:rPr>
        <w:t>该商品的</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供应商</w:t>
      </w:r>
      <w:r>
        <w:rPr>
          <w:rFonts w:hint="eastAsia" w:asciiTheme="minorEastAsia" w:hAnsiTheme="minorEastAsia" w:eastAsiaTheme="minorEastAsia" w:cstheme="minorEastAsia"/>
          <w:b w:val="0"/>
          <w:bCs w:val="0"/>
          <w:sz w:val="21"/>
          <w:szCs w:val="21"/>
        </w:rPr>
        <w:t>应提前告知</w:t>
      </w:r>
      <w:r>
        <w:rPr>
          <w:rFonts w:hint="eastAsia" w:asciiTheme="minorEastAsia" w:hAnsiTheme="minorEastAsia" w:eastAsiaTheme="minorEastAsia" w:cstheme="minorEastAsia"/>
          <w:b w:val="0"/>
          <w:bCs w:val="0"/>
          <w:sz w:val="21"/>
          <w:szCs w:val="21"/>
          <w:lang w:eastAsia="zh-CN"/>
        </w:rPr>
        <w:t>采购</w:t>
      </w:r>
      <w:r>
        <w:rPr>
          <w:rFonts w:hint="eastAsia" w:asciiTheme="minorEastAsia" w:hAnsiTheme="minorEastAsia" w:cstheme="minorEastAsia"/>
          <w:b w:val="0"/>
          <w:bCs w:val="0"/>
          <w:sz w:val="21"/>
          <w:szCs w:val="21"/>
          <w:lang w:val="en-US" w:eastAsia="zh-CN"/>
        </w:rPr>
        <w:t>人</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并提供相关证明，</w:t>
      </w:r>
      <w:r>
        <w:rPr>
          <w:rFonts w:hint="eastAsia" w:asciiTheme="minorEastAsia" w:hAnsiTheme="minorEastAsia" w:eastAsiaTheme="minorEastAsia" w:cstheme="minorEastAsia"/>
          <w:b w:val="0"/>
          <w:bCs w:val="0"/>
          <w:sz w:val="21"/>
          <w:szCs w:val="21"/>
        </w:rPr>
        <w:t>经</w:t>
      </w:r>
      <w:r>
        <w:rPr>
          <w:rFonts w:hint="eastAsia" w:asciiTheme="minorEastAsia" w:hAnsiTheme="minorEastAsia" w:eastAsiaTheme="minorEastAsia" w:cstheme="minorEastAsia"/>
          <w:b w:val="0"/>
          <w:bCs w:val="0"/>
          <w:sz w:val="21"/>
          <w:szCs w:val="21"/>
          <w:lang w:eastAsia="zh-CN"/>
        </w:rPr>
        <w:t>采购</w:t>
      </w:r>
      <w:r>
        <w:rPr>
          <w:rFonts w:hint="eastAsia" w:asciiTheme="minorEastAsia" w:hAnsiTheme="minorEastAsia" w:cstheme="minorEastAsia"/>
          <w:b w:val="0"/>
          <w:bCs w:val="0"/>
          <w:sz w:val="21"/>
          <w:szCs w:val="21"/>
          <w:lang w:val="en-US" w:eastAsia="zh-CN"/>
        </w:rPr>
        <w:t>人</w:t>
      </w:r>
      <w:r>
        <w:rPr>
          <w:rFonts w:hint="eastAsia" w:asciiTheme="minorEastAsia" w:hAnsiTheme="minorEastAsia" w:eastAsiaTheme="minorEastAsia" w:cstheme="minorEastAsia"/>
          <w:b w:val="0"/>
          <w:bCs w:val="0"/>
          <w:sz w:val="21"/>
          <w:szCs w:val="21"/>
        </w:rPr>
        <w:t>同意后</w:t>
      </w:r>
      <w:r>
        <w:rPr>
          <w:rFonts w:hint="eastAsia" w:asciiTheme="minorEastAsia" w:hAnsiTheme="minorEastAsia" w:eastAsiaTheme="minorEastAsia" w:cstheme="minorEastAsia"/>
          <w:b w:val="0"/>
          <w:bCs w:val="0"/>
          <w:sz w:val="21"/>
          <w:szCs w:val="21"/>
          <w:lang w:eastAsia="zh-CN"/>
        </w:rPr>
        <w:t>方可</w:t>
      </w:r>
      <w:r>
        <w:rPr>
          <w:rFonts w:hint="eastAsia" w:asciiTheme="minorEastAsia" w:hAnsiTheme="minorEastAsia" w:eastAsiaTheme="minorEastAsia" w:cstheme="minorEastAsia"/>
          <w:b w:val="0"/>
          <w:bCs w:val="0"/>
          <w:sz w:val="21"/>
          <w:szCs w:val="21"/>
        </w:rPr>
        <w:t>更换同等价格的货物。</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五、交货时间</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合同签订之日起15个工作日。</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六</w:t>
      </w:r>
      <w:r>
        <w:rPr>
          <w:rFonts w:hint="eastAsia" w:asciiTheme="minorEastAsia" w:hAnsiTheme="minorEastAsia" w:eastAsiaTheme="minorEastAsia" w:cstheme="minorEastAsia"/>
          <w:b w:val="0"/>
          <w:bCs w:val="0"/>
          <w:sz w:val="21"/>
          <w:szCs w:val="21"/>
          <w:lang w:val="en-US" w:eastAsia="zh-CN"/>
        </w:rPr>
        <w:t>、款项支付</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本项目验收合格并收到供应商发票，15日内完成款项支付。</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七</w:t>
      </w:r>
      <w:r>
        <w:rPr>
          <w:rFonts w:hint="eastAsia" w:asciiTheme="minorEastAsia" w:hAnsiTheme="minorEastAsia" w:eastAsiaTheme="minorEastAsia" w:cstheme="minorEastAsia"/>
          <w:b w:val="0"/>
          <w:bCs w:val="0"/>
          <w:sz w:val="21"/>
          <w:szCs w:val="21"/>
          <w:lang w:val="en-US" w:eastAsia="zh-CN"/>
        </w:rPr>
        <w:t>、质量保证</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（一）</w:t>
      </w:r>
      <w:r>
        <w:rPr>
          <w:rFonts w:hint="eastAsia" w:asciiTheme="minorEastAsia" w:hAnsiTheme="minorEastAsia" w:eastAsiaTheme="minorEastAsia" w:cstheme="minorEastAsia"/>
          <w:b w:val="0"/>
          <w:bCs w:val="0"/>
          <w:sz w:val="21"/>
          <w:szCs w:val="21"/>
          <w:lang w:eastAsia="zh-CN"/>
        </w:rPr>
        <w:t>供货商</w:t>
      </w:r>
      <w:r>
        <w:rPr>
          <w:rFonts w:hint="eastAsia" w:asciiTheme="minorEastAsia" w:hAnsiTheme="minorEastAsia" w:eastAsiaTheme="minorEastAsia" w:cstheme="minorEastAsia"/>
          <w:b w:val="0"/>
          <w:bCs w:val="0"/>
          <w:sz w:val="21"/>
          <w:szCs w:val="21"/>
        </w:rPr>
        <w:t>所提供的货物的质保期按照生产厂家标准。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w:t>
      </w:r>
      <w:r>
        <w:rPr>
          <w:rFonts w:hint="eastAsia" w:asciiTheme="minorEastAsia" w:hAnsiTheme="minorEastAsia" w:cstheme="minorEastAsia"/>
          <w:b w:val="0"/>
          <w:bCs w:val="0"/>
          <w:sz w:val="21"/>
          <w:szCs w:val="21"/>
          <w:lang w:val="en-US" w:eastAsia="zh-CN"/>
        </w:rPr>
        <w:t>二</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eastAsia="zh-CN"/>
        </w:rPr>
        <w:t>供货商</w:t>
      </w:r>
      <w:r>
        <w:rPr>
          <w:rFonts w:hint="eastAsia" w:asciiTheme="minorEastAsia" w:hAnsiTheme="minorEastAsia" w:eastAsiaTheme="minorEastAsia" w:cstheme="minorEastAsia"/>
          <w:b w:val="0"/>
          <w:bCs w:val="0"/>
          <w:sz w:val="21"/>
          <w:szCs w:val="21"/>
        </w:rPr>
        <w:t>应保证提供的货物是全新、未使用过的原装合格正品，并完全符合生产厂家或国家规定的质量、规格和性能的要求。</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eastAsia="zh-CN"/>
        </w:rPr>
        <w:t>（</w:t>
      </w:r>
      <w:r>
        <w:rPr>
          <w:rFonts w:hint="eastAsia" w:asciiTheme="minorEastAsia" w:hAnsiTheme="minorEastAsia" w:cstheme="minorEastAsia"/>
          <w:b w:val="0"/>
          <w:bCs w:val="0"/>
          <w:sz w:val="21"/>
          <w:szCs w:val="21"/>
          <w:lang w:val="en-US" w:eastAsia="zh-CN"/>
        </w:rPr>
        <w:t>三</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eastAsia="zh-CN"/>
        </w:rPr>
        <w:t>供货商</w:t>
      </w:r>
      <w:r>
        <w:rPr>
          <w:rFonts w:hint="eastAsia" w:asciiTheme="minorEastAsia" w:hAnsiTheme="minorEastAsia" w:eastAsiaTheme="minorEastAsia" w:cstheme="minorEastAsia"/>
          <w:b w:val="0"/>
          <w:bCs w:val="0"/>
          <w:sz w:val="21"/>
          <w:szCs w:val="21"/>
        </w:rPr>
        <w:t>应保证在质保期内按照生产厂家的服务标准向</w:t>
      </w:r>
      <w:r>
        <w:rPr>
          <w:rFonts w:hint="eastAsia" w:asciiTheme="minorEastAsia" w:hAnsiTheme="minorEastAsia" w:eastAsiaTheme="minorEastAsia" w:cstheme="minorEastAsia"/>
          <w:b w:val="0"/>
          <w:bCs w:val="0"/>
          <w:sz w:val="21"/>
          <w:szCs w:val="21"/>
          <w:lang w:eastAsia="zh-CN"/>
        </w:rPr>
        <w:t>采购方</w:t>
      </w:r>
      <w:r>
        <w:rPr>
          <w:rFonts w:hint="eastAsia" w:asciiTheme="minorEastAsia" w:hAnsiTheme="minorEastAsia" w:eastAsiaTheme="minorEastAsia" w:cstheme="minorEastAsia"/>
          <w:b w:val="0"/>
          <w:bCs w:val="0"/>
          <w:sz w:val="21"/>
          <w:szCs w:val="21"/>
        </w:rPr>
        <w:t>提供售后服务。</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八</w:t>
      </w:r>
      <w:r>
        <w:rPr>
          <w:rFonts w:hint="eastAsia" w:asciiTheme="minorEastAsia" w:hAnsiTheme="minorEastAsia" w:eastAsiaTheme="minorEastAsia" w:cstheme="minorEastAsia"/>
          <w:b w:val="0"/>
          <w:bCs w:val="0"/>
          <w:sz w:val="21"/>
          <w:szCs w:val="21"/>
          <w:lang w:eastAsia="zh-CN"/>
        </w:rPr>
        <w:t>、验收标准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供应商履约后，采购</w:t>
      </w:r>
      <w:r>
        <w:rPr>
          <w:rFonts w:hint="eastAsia" w:asciiTheme="minorEastAsia" w:hAnsiTheme="minorEastAsia" w:cstheme="minorEastAsia"/>
          <w:b w:val="0"/>
          <w:bCs w:val="0"/>
          <w:sz w:val="21"/>
          <w:szCs w:val="21"/>
          <w:lang w:val="en-US" w:eastAsia="zh-CN"/>
        </w:rPr>
        <w:t>人</w:t>
      </w:r>
      <w:r>
        <w:rPr>
          <w:rFonts w:hint="eastAsia" w:asciiTheme="minorEastAsia" w:hAnsiTheme="minorEastAsia" w:eastAsiaTheme="minorEastAsia" w:cstheme="minorEastAsia"/>
          <w:b w:val="0"/>
          <w:bCs w:val="0"/>
          <w:sz w:val="21"/>
          <w:szCs w:val="21"/>
          <w:lang w:eastAsia="zh-CN"/>
        </w:rPr>
        <w:t>应于收到供应商验收申请后</w:t>
      </w:r>
      <w:r>
        <w:rPr>
          <w:rFonts w:hint="eastAsia" w:asciiTheme="minorEastAsia" w:hAnsiTheme="minorEastAsia" w:eastAsiaTheme="minorEastAsia" w:cstheme="minorEastAsia"/>
          <w:b w:val="0"/>
          <w:bCs w:val="0"/>
          <w:sz w:val="21"/>
          <w:szCs w:val="21"/>
          <w:lang w:val="en-US" w:eastAsia="zh-CN"/>
        </w:rPr>
        <w:t>7日内组织履约验收。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根据有关国家行业所列标准及规范、规定、</w:t>
      </w:r>
      <w:r>
        <w:rPr>
          <w:rFonts w:hint="eastAsia" w:asciiTheme="minorEastAsia" w:hAnsiTheme="minorEastAsia" w:eastAsiaTheme="minorEastAsia" w:cstheme="minorEastAsia"/>
          <w:b w:val="0"/>
          <w:bCs w:val="0"/>
          <w:sz w:val="21"/>
          <w:szCs w:val="21"/>
          <w:lang w:val="en-US" w:eastAsia="zh-CN"/>
        </w:rPr>
        <w:t>核对采购文件、送货清单、到货发票等材料</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 xml:space="preserve">采购项目规格、数量、质量等均符合要求。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numPr>
          <w:ilvl w:val="0"/>
          <w:numId w:val="0"/>
        </w:numPr>
        <w:ind w:left="0" w:leftChars="0" w:firstLine="420" w:firstLineChars="200"/>
        <w:rPr>
          <w:rFonts w:hint="eastAsia" w:asciiTheme="minorEastAsia" w:hAnsiTheme="minorEastAsia" w:eastAsiaTheme="minorEastAsia" w:cstheme="minorEastAsia"/>
          <w:sz w:val="21"/>
          <w:szCs w:val="21"/>
          <w:lang w:val="en-US" w:eastAsia="zh-CN"/>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5"/>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5"/>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1"/>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ind w:left="0" w:leftChars="0" w:firstLine="0" w:firstLineChars="0"/>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广东省河源监狱空气能热水器采购项目</w:t>
      </w:r>
    </w:p>
    <w:p>
      <w:pPr>
        <w:pStyle w:val="4"/>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1"/>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w:t>
      </w:r>
      <w:r>
        <w:rPr>
          <w:rFonts w:hint="eastAsia"/>
          <w:b w:val="0"/>
          <w:bCs w:val="0"/>
          <w:sz w:val="32"/>
          <w:szCs w:val="32"/>
        </w:rPr>
        <w:t>供应商资格声明函</w:t>
      </w:r>
      <w:r>
        <w:rPr>
          <w:rFonts w:hint="eastAsia" w:asciiTheme="minorEastAsia" w:hAnsiTheme="minorEastAsia" w:eastAsiaTheme="minorEastAsia" w:cstheme="minorEastAsia"/>
          <w:b w:val="0"/>
          <w:bCs w:val="0"/>
          <w:color w:val="00000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三、营业执照（副本）…………………………………3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b w:val="0"/>
          <w:bCs w:val="0"/>
          <w:color w:val="000000"/>
          <w:sz w:val="32"/>
          <w:szCs w:val="32"/>
          <w:lang w:val="en-US" w:eastAsia="zh-CN"/>
        </w:rPr>
        <w:t>四、</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五、授权委托书（如需授权）…………………………5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六、</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  价  函</w:t>
      </w:r>
    </w:p>
    <w:p>
      <w:pPr>
        <w:pStyle w:val="24"/>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4"/>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根据贵方为本采购项目的报价邀请，我方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6"/>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（一）报价文件。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我方已完全明白文件的所有条款要求，并重申以下几点：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广东省河源监狱空气能热水器采购项目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（二）全部货物之供应和有关服务的报价总价（详见报价表）；</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（三）本报价文件的有效期自报价截止日后90天有效，如成交，有效期将延至合同终止日为止；</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（四）我方已详细研究了文件的所有内容包括修正文（如有）和所有已提供的参考资料以及有关附件并完全明白，我方放弃在此方面提出含糊意见或误解的一切权力；</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10"/>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rPr>
        <w:t>供应商资格声明函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sz w:val="21"/>
          <w:szCs w:val="21"/>
          <w:u w:val="single"/>
          <w:lang w:val="en-US" w:eastAsia="zh-CN"/>
        </w:rPr>
        <w:t>广东省河源监狱空气能热水器采购项目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比价</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rPr>
          <w:rFonts w:hint="eastAsia"/>
        </w:rPr>
      </w:pPr>
      <w:r>
        <w:rPr>
          <w:rFonts w:hint="eastAsia"/>
        </w:rPr>
        <w:t>　　（三）具有履行合同所必需的设备和专业技术能力；</w:t>
      </w:r>
    </w:p>
    <w:p>
      <w:pPr>
        <w:pageBreakBefore w:val="0"/>
        <w:kinsoku/>
        <w:wordWrap/>
        <w:overflowPunct/>
        <w:topLinePunct w:val="0"/>
        <w:bidi w:val="0"/>
        <w:spacing w:line="340" w:lineRule="exact"/>
        <w:rPr>
          <w:rFonts w:hint="eastAsia"/>
        </w:rPr>
      </w:pPr>
      <w:r>
        <w:rPr>
          <w:rFonts w:hint="eastAsia"/>
        </w:rPr>
        <w:t>　　（四）有依法缴纳税收和社会保障资金的良好记录；</w:t>
      </w:r>
    </w:p>
    <w:p>
      <w:pPr>
        <w:pageBreakBefore w:val="0"/>
        <w:kinsoku/>
        <w:wordWrap/>
        <w:overflowPunct/>
        <w:topLinePunct w:val="0"/>
        <w:bidi w:val="0"/>
        <w:spacing w:line="340" w:lineRule="exact"/>
        <w:rPr>
          <w:rFonts w:hint="eastAsia"/>
        </w:rPr>
      </w:pPr>
      <w:r>
        <w:rPr>
          <w:rFonts w:hint="eastAsia"/>
        </w:rPr>
        <w:t>　　（五）参加政府采购活动前三年内，在经营活动中没有重大违法记录；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（六）法律、行政法规规定的其他条件。</w:t>
      </w:r>
    </w:p>
    <w:p>
      <w:pPr>
        <w:pageBreakBefore w:val="0"/>
        <w:kinsoku/>
        <w:wordWrap/>
        <w:overflowPunct/>
        <w:topLinePunct w:val="0"/>
        <w:bidi w:val="0"/>
        <w:spacing w:line="340" w:lineRule="exact"/>
        <w:rPr>
          <w:rFonts w:hint="eastAsia"/>
        </w:rPr>
      </w:pPr>
      <w:r>
        <w:rPr>
          <w:rFonts w:hint="eastAsia"/>
        </w:rPr>
        <w:t>　　　二、本公司具有本次采购项目服务能力。</w:t>
      </w:r>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本公司（企业）承诺在本次采购活动中，如有违法、违规、弄虚作假行为，所造成的损失、不良后果及法律责任，一律由我公司（企业）承担。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3.营业执照（副本）（复印件加盖公章）</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广东省河源监狱空气能热水器采购项目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3"/>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20"/>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085"/>
        <w:gridCol w:w="1212"/>
        <w:gridCol w:w="298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719"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085"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12" w:type="dxa"/>
            <w:vAlign w:val="center"/>
          </w:tcPr>
          <w:p>
            <w:pPr>
              <w:pStyle w:val="10"/>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2987" w:type="dxa"/>
            <w:vAlign w:val="center"/>
          </w:tcPr>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highlight w:val="none"/>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vertAlign w:val="baseline"/>
                <w:lang w:val="en-US" w:eastAsia="zh-CN"/>
                <w14:textFill>
                  <w14:solidFill>
                    <w14:schemeClr w14:val="tx1"/>
                  </w14:solidFill>
                </w14:textFill>
              </w:rPr>
              <w:t>单价下浮率</w:t>
            </w:r>
          </w:p>
          <w:p>
            <w:pPr>
              <w:pStyle w:val="10"/>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vertAlign w:val="baseline"/>
                <w:lang w:val="en-US" w:eastAsia="zh-CN"/>
                <w14:textFill>
                  <w14:solidFill>
                    <w14:schemeClr w14:val="tx1"/>
                  </w14:solidFill>
                </w14:textFill>
              </w:rPr>
              <w:t>报价（%）</w:t>
            </w:r>
          </w:p>
        </w:tc>
        <w:tc>
          <w:tcPr>
            <w:tcW w:w="1356"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1719" w:type="dxa"/>
            <w:vAlign w:val="center"/>
          </w:tcPr>
          <w:p>
            <w:pPr>
              <w:pStyle w:val="10"/>
              <w:pageBreakBefore w:val="0"/>
              <w:kinsoku/>
              <w:wordWrap/>
              <w:overflowPunct/>
              <w:topLinePunct w:val="0"/>
              <w:bidi w:val="0"/>
              <w:spacing w:line="340" w:lineRule="exact"/>
              <w:jc w:val="both"/>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r>
              <w:rPr>
                <w:rFonts w:hint="eastAsia" w:asciiTheme="minorEastAsia" w:hAnsiTheme="minorEastAsia" w:cstheme="minorEastAsia"/>
                <w:sz w:val="28"/>
                <w:szCs w:val="28"/>
                <w:u w:val="none"/>
                <w:lang w:val="en-US" w:eastAsia="zh-CN"/>
              </w:rPr>
              <w:t>广东省河源监狱空气能热水器采购项目</w:t>
            </w:r>
          </w:p>
        </w:tc>
        <w:tc>
          <w:tcPr>
            <w:tcW w:w="1085"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w:t>
            </w:r>
          </w:p>
        </w:tc>
        <w:tc>
          <w:tcPr>
            <w:tcW w:w="1212"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2987" w:type="dxa"/>
            <w:vAlign w:val="center"/>
          </w:tcPr>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小写：</w:t>
            </w:r>
          </w:p>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both"/>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大写：百分之</w:t>
            </w:r>
          </w:p>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356"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pageBreakBefore w:val="0"/>
        <w:kinsoku/>
        <w:wordWrap/>
        <w:overflowPunct/>
        <w:topLinePunct w:val="0"/>
        <w:bidi w:val="0"/>
        <w:spacing w:line="340" w:lineRule="exact"/>
        <w:rPr>
          <w:rFonts w:hint="eastAsia" w:ascii="宋体" w:hAnsi="宋体"/>
          <w:b w:val="0"/>
          <w:bCs/>
          <w:spacing w:val="4"/>
          <w:sz w:val="21"/>
          <w:szCs w:val="21"/>
        </w:rPr>
      </w:pPr>
    </w:p>
    <w:p>
      <w:pPr>
        <w:pageBreakBefore w:val="0"/>
        <w:kinsoku/>
        <w:wordWrap/>
        <w:overflowPunct/>
        <w:topLinePunct w:val="0"/>
        <w:bidi w:val="0"/>
        <w:spacing w:line="340" w:lineRule="exact"/>
        <w:rPr>
          <w:rFonts w:ascii="宋体" w:hAnsi="宋体"/>
          <w:b w:val="0"/>
          <w:bCs/>
          <w:spacing w:val="4"/>
          <w:sz w:val="21"/>
          <w:szCs w:val="21"/>
        </w:rPr>
      </w:pPr>
      <w:r>
        <w:rPr>
          <w:rFonts w:hint="eastAsia" w:ascii="宋体" w:hAnsi="宋体"/>
          <w:b w:val="0"/>
          <w:bCs/>
          <w:spacing w:val="4"/>
          <w:sz w:val="21"/>
          <w:szCs w:val="21"/>
        </w:rPr>
        <w:t>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18" w:firstLineChars="192"/>
        <w:jc w:val="left"/>
        <w:textAlignment w:val="auto"/>
        <w:rPr>
          <w:rFonts w:ascii="宋体" w:hAnsi="宋体"/>
          <w:b w:val="0"/>
          <w:bCs/>
          <w:color w:val="auto"/>
          <w:sz w:val="21"/>
          <w:szCs w:val="21"/>
          <w:u w:val="none"/>
        </w:rPr>
      </w:pPr>
      <w:r>
        <w:rPr>
          <w:rFonts w:hint="eastAsia" w:ascii="宋体" w:hAnsi="宋体"/>
          <w:b w:val="0"/>
          <w:bCs/>
          <w:color w:val="auto"/>
          <w:spacing w:val="4"/>
          <w:sz w:val="21"/>
          <w:szCs w:val="21"/>
          <w:u w:val="none"/>
          <w:lang w:val="en-US" w:eastAsia="zh-CN"/>
        </w:rPr>
        <w:t>1.供</w:t>
      </w:r>
      <w:r>
        <w:rPr>
          <w:rFonts w:hint="eastAsia" w:ascii="宋体" w:hAnsi="宋体"/>
          <w:b w:val="0"/>
          <w:bCs/>
          <w:color w:val="auto"/>
          <w:spacing w:val="4"/>
          <w:sz w:val="21"/>
          <w:szCs w:val="21"/>
          <w:u w:val="none"/>
        </w:rPr>
        <w:t>应商必须按报价表的格式填写，不得增加或删除表格内容。除单价、金额或项目要求填写的内容外，不得擅自改动报价表内容，否则将有可能影响成交结果，不推荐为成交候选人；</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b w:val="0"/>
          <w:bCs/>
          <w:color w:val="auto"/>
          <w:sz w:val="21"/>
          <w:szCs w:val="21"/>
          <w:u w:val="none"/>
          <w:lang w:val="en-US" w:eastAsia="zh-CN"/>
        </w:rPr>
      </w:pPr>
      <w:r>
        <w:rPr>
          <w:rFonts w:hint="eastAsia" w:asciiTheme="minorEastAsia" w:hAnsiTheme="minorEastAsia"/>
          <w:b w:val="0"/>
          <w:bCs/>
          <w:color w:val="auto"/>
          <w:sz w:val="21"/>
          <w:szCs w:val="21"/>
          <w:highlight w:val="none"/>
          <w:u w:val="none"/>
          <w:lang w:val="en-US" w:eastAsia="zh-CN"/>
        </w:rPr>
        <w:t>2.</w:t>
      </w:r>
      <w:r>
        <w:rPr>
          <w:rFonts w:hint="eastAsia" w:asciiTheme="minorEastAsia" w:hAnsiTheme="minorEastAsia" w:eastAsiaTheme="minorEastAsia"/>
          <w:b w:val="0"/>
          <w:bCs/>
          <w:color w:val="auto"/>
          <w:sz w:val="21"/>
          <w:szCs w:val="21"/>
          <w:u w:val="none"/>
        </w:rPr>
        <w:t>所有价格均系用人民币表示，单位为元，均</w:t>
      </w:r>
      <w:r>
        <w:rPr>
          <w:rFonts w:hint="eastAsia" w:ascii="宋体" w:hAnsi="宋体"/>
          <w:b w:val="0"/>
          <w:bCs/>
          <w:spacing w:val="4"/>
          <w:sz w:val="21"/>
          <w:szCs w:val="21"/>
          <w:u w:val="none"/>
        </w:rPr>
        <w:t>包含产品价格、</w:t>
      </w:r>
      <w:r>
        <w:rPr>
          <w:rFonts w:hint="eastAsia" w:ascii="宋体" w:hAnsi="宋体"/>
          <w:b w:val="0"/>
          <w:bCs/>
          <w:spacing w:val="4"/>
          <w:sz w:val="21"/>
          <w:szCs w:val="21"/>
          <w:u w:val="none"/>
          <w:lang w:eastAsia="zh-CN"/>
        </w:rPr>
        <w:t>运输、</w:t>
      </w:r>
      <w:r>
        <w:rPr>
          <w:rFonts w:hint="eastAsia" w:ascii="宋体" w:hAnsi="宋体"/>
          <w:b w:val="0"/>
          <w:bCs/>
          <w:spacing w:val="4"/>
          <w:sz w:val="21"/>
          <w:szCs w:val="21"/>
          <w:u w:val="none"/>
          <w:lang w:val="en-US" w:eastAsia="zh-CN"/>
        </w:rPr>
        <w:t>安装</w:t>
      </w:r>
      <w:bookmarkStart w:id="0" w:name="_GoBack"/>
      <w:bookmarkEnd w:id="0"/>
      <w:r>
        <w:rPr>
          <w:rFonts w:hint="eastAsia" w:ascii="宋体" w:hAnsi="宋体"/>
          <w:b w:val="0"/>
          <w:bCs/>
          <w:spacing w:val="4"/>
          <w:sz w:val="21"/>
          <w:szCs w:val="21"/>
          <w:u w:val="none"/>
          <w:lang w:val="en-US" w:eastAsia="zh-CN"/>
        </w:rPr>
        <w:t>、安全、</w:t>
      </w:r>
      <w:r>
        <w:rPr>
          <w:rFonts w:hint="eastAsia" w:ascii="宋体" w:hAnsi="宋体"/>
          <w:b w:val="0"/>
          <w:bCs/>
          <w:spacing w:val="4"/>
          <w:sz w:val="21"/>
          <w:szCs w:val="21"/>
          <w:u w:val="none"/>
        </w:rPr>
        <w:t>税金等一切费用</w:t>
      </w:r>
      <w:r>
        <w:rPr>
          <w:rFonts w:hint="eastAsia" w:ascii="宋体" w:hAnsi="宋体"/>
          <w:b w:val="0"/>
          <w:bCs/>
          <w:spacing w:val="4"/>
          <w:sz w:val="21"/>
          <w:szCs w:val="21"/>
          <w:u w:val="none"/>
          <w:lang w:val="en-US" w:eastAsia="zh-CN"/>
        </w:rPr>
        <w:t>；</w:t>
      </w:r>
    </w:p>
    <w:p>
      <w:pPr>
        <w:widowControl/>
        <w:numPr>
          <w:ilvl w:val="0"/>
          <w:numId w:val="0"/>
        </w:numPr>
        <w:shd w:val="clear" w:color="auto" w:fill="FFFFFF"/>
        <w:spacing w:line="276" w:lineRule="auto"/>
        <w:ind w:left="0" w:leftChars="0" w:firstLine="420" w:firstLineChars="200"/>
        <w:jc w:val="left"/>
        <w:rPr>
          <w:rFonts w:ascii="宋体" w:hAnsi="宋体"/>
          <w:b w:val="0"/>
          <w:bCs/>
          <w:color w:val="auto"/>
          <w:u w:val="none"/>
        </w:rPr>
      </w:pPr>
      <w:r>
        <w:rPr>
          <w:rFonts w:hint="eastAsia" w:ascii="宋体" w:hAnsi="宋体"/>
          <w:b w:val="0"/>
          <w:bCs/>
          <w:color w:val="auto"/>
          <w:u w:val="none"/>
          <w:lang w:val="en-US" w:eastAsia="zh-CN"/>
        </w:rPr>
        <w:t>3.</w:t>
      </w:r>
      <w:r>
        <w:rPr>
          <w:rFonts w:ascii="宋体" w:hAnsi="宋体"/>
          <w:b w:val="0"/>
          <w:bCs/>
          <w:color w:val="auto"/>
          <w:u w:val="none"/>
        </w:rPr>
        <w:t>下浮率报价</w:t>
      </w:r>
      <w:r>
        <w:rPr>
          <w:rFonts w:hint="eastAsia" w:ascii="宋体" w:hAnsi="宋体"/>
          <w:b w:val="0"/>
          <w:bCs/>
          <w:color w:val="auto"/>
          <w:u w:val="none"/>
          <w:lang w:val="en-US" w:eastAsia="zh-CN"/>
        </w:rPr>
        <w:t>不得</w:t>
      </w:r>
      <w:r>
        <w:rPr>
          <w:rFonts w:ascii="宋体" w:hAnsi="宋体"/>
          <w:b w:val="0"/>
          <w:bCs/>
          <w:color w:val="auto"/>
          <w:u w:val="none"/>
        </w:rPr>
        <w:t>大于或等于</w:t>
      </w:r>
      <w:r>
        <w:rPr>
          <w:rFonts w:hint="eastAsia" w:ascii="宋体" w:hAnsi="宋体"/>
          <w:b w:val="0"/>
          <w:bCs/>
          <w:color w:val="auto"/>
          <w:u w:val="none"/>
        </w:rPr>
        <w:t>100</w:t>
      </w:r>
      <w:r>
        <w:rPr>
          <w:rFonts w:ascii="宋体" w:hAnsi="宋体"/>
          <w:b w:val="0"/>
          <w:bCs/>
          <w:color w:val="auto"/>
          <w:u w:val="none"/>
        </w:rPr>
        <w:t>%，也</w:t>
      </w:r>
      <w:r>
        <w:rPr>
          <w:rFonts w:hint="eastAsia" w:ascii="宋体" w:hAnsi="宋体"/>
          <w:b w:val="0"/>
          <w:bCs/>
          <w:color w:val="auto"/>
          <w:u w:val="none"/>
          <w:lang w:val="en-US" w:eastAsia="zh-CN"/>
        </w:rPr>
        <w:t>不得</w:t>
      </w:r>
      <w:r>
        <w:rPr>
          <w:rFonts w:ascii="宋体" w:hAnsi="宋体"/>
          <w:b w:val="0"/>
          <w:bCs/>
          <w:color w:val="auto"/>
          <w:u w:val="none"/>
        </w:rPr>
        <w:t>为负数，且是固定唯一值的，否则为无效报价</w:t>
      </w:r>
      <w:r>
        <w:rPr>
          <w:rFonts w:hint="eastAsia" w:ascii="宋体" w:hAnsi="宋体"/>
          <w:b w:val="0"/>
          <w:bCs/>
          <w:color w:val="auto"/>
          <w:u w:val="none"/>
        </w:rPr>
        <w:t>；下浮率</w:t>
      </w:r>
      <w:r>
        <w:rPr>
          <w:rFonts w:hint="eastAsia" w:ascii="宋体" w:hAnsi="宋体"/>
          <w:b w:val="0"/>
          <w:bCs/>
          <w:color w:val="auto"/>
          <w:u w:val="none"/>
          <w:lang w:val="en-US" w:eastAsia="zh-CN"/>
        </w:rPr>
        <w:t>最</w:t>
      </w:r>
      <w:r>
        <w:rPr>
          <w:rFonts w:hint="eastAsia" w:ascii="宋体" w:hAnsi="宋体"/>
          <w:b w:val="0"/>
          <w:bCs/>
          <w:color w:val="auto"/>
          <w:u w:val="none"/>
        </w:rPr>
        <w:t>高的为成交供应商。供应商所报下浮率为成交下浮率，即：</w:t>
      </w:r>
      <w:r>
        <w:rPr>
          <w:rFonts w:hint="eastAsia" w:ascii="宋体" w:hAnsi="宋体"/>
          <w:b/>
          <w:bCs w:val="0"/>
          <w:color w:val="auto"/>
          <w:u w:val="single"/>
        </w:rPr>
        <w:t>合同</w:t>
      </w:r>
      <w:r>
        <w:rPr>
          <w:rFonts w:hint="eastAsia" w:ascii="宋体" w:hAnsi="宋体"/>
          <w:b/>
          <w:bCs w:val="0"/>
          <w:color w:val="auto"/>
          <w:u w:val="single"/>
          <w:lang w:val="en-US" w:eastAsia="zh-CN"/>
        </w:rPr>
        <w:t>货物成交</w:t>
      </w:r>
      <w:r>
        <w:rPr>
          <w:rFonts w:hint="eastAsia" w:ascii="宋体" w:hAnsi="宋体"/>
          <w:b/>
          <w:bCs w:val="0"/>
          <w:color w:val="auto"/>
          <w:u w:val="single"/>
        </w:rPr>
        <w:t>单价</w:t>
      </w:r>
      <w:r>
        <w:rPr>
          <w:rFonts w:hint="eastAsia" w:ascii="宋体" w:hAnsi="宋体"/>
          <w:b/>
          <w:bCs w:val="0"/>
          <w:color w:val="auto"/>
          <w:u w:val="single"/>
          <w:lang w:val="en-US" w:eastAsia="zh-CN"/>
        </w:rPr>
        <w:t>=单价</w:t>
      </w:r>
      <w:r>
        <w:rPr>
          <w:rFonts w:hint="eastAsia" w:ascii="宋体" w:hAnsi="宋体"/>
          <w:b/>
          <w:bCs w:val="0"/>
          <w:color w:val="auto"/>
          <w:u w:val="single"/>
        </w:rPr>
        <w:t>最高</w:t>
      </w:r>
      <w:r>
        <w:rPr>
          <w:rFonts w:ascii="宋体" w:hAnsi="宋体"/>
          <w:b/>
          <w:bCs w:val="0"/>
          <w:color w:val="auto"/>
          <w:u w:val="single"/>
        </w:rPr>
        <w:t>限价*</w:t>
      </w:r>
      <w:r>
        <w:rPr>
          <w:rFonts w:hint="eastAsia" w:ascii="宋体" w:hAnsi="宋体"/>
          <w:b/>
          <w:bCs w:val="0"/>
          <w:color w:val="auto"/>
          <w:u w:val="single"/>
        </w:rPr>
        <w:t>（1</w:t>
      </w:r>
      <w:r>
        <w:rPr>
          <w:rFonts w:hint="eastAsia" w:ascii="宋体" w:hAnsi="宋体"/>
          <w:b/>
          <w:bCs w:val="0"/>
          <w:color w:val="auto"/>
          <w:u w:val="single"/>
          <w:lang w:val="en-US" w:eastAsia="zh-CN"/>
        </w:rPr>
        <w:t>-单价</w:t>
      </w:r>
      <w:r>
        <w:rPr>
          <w:rFonts w:ascii="宋体" w:hAnsi="宋体"/>
          <w:b/>
          <w:bCs w:val="0"/>
          <w:color w:val="auto"/>
          <w:u w:val="single"/>
        </w:rPr>
        <w:t>下浮率</w:t>
      </w:r>
      <w:r>
        <w:rPr>
          <w:rFonts w:hint="eastAsia" w:ascii="宋体" w:hAnsi="宋体"/>
          <w:b/>
          <w:bCs w:val="0"/>
          <w:color w:val="auto"/>
          <w:u w:val="single"/>
        </w:rPr>
        <w:t>）</w:t>
      </w:r>
      <w:r>
        <w:rPr>
          <w:rFonts w:ascii="宋体" w:hAnsi="宋体"/>
          <w:b w:val="0"/>
          <w:bCs/>
          <w:color w:val="auto"/>
          <w:u w:val="none"/>
        </w:rPr>
        <w:t>；</w:t>
      </w:r>
      <w:r>
        <w:rPr>
          <w:rFonts w:hint="eastAsia" w:asciiTheme="minorEastAsia" w:hAnsiTheme="minorEastAsia" w:eastAsiaTheme="minorEastAsia"/>
          <w:b w:val="0"/>
          <w:bCs/>
          <w:color w:val="auto"/>
          <w:sz w:val="21"/>
          <w:szCs w:val="21"/>
          <w:highlight w:val="none"/>
          <w:u w:val="none"/>
        </w:rPr>
        <w:t>下浮后</w:t>
      </w:r>
      <w:r>
        <w:rPr>
          <w:rFonts w:hint="eastAsia" w:asciiTheme="minorEastAsia" w:hAnsiTheme="minorEastAsia"/>
          <w:b w:val="0"/>
          <w:bCs/>
          <w:color w:val="auto"/>
          <w:sz w:val="21"/>
          <w:szCs w:val="21"/>
          <w:highlight w:val="none"/>
          <w:u w:val="none"/>
          <w:lang w:val="en-US" w:eastAsia="zh-CN"/>
        </w:rPr>
        <w:t>成交</w:t>
      </w:r>
      <w:r>
        <w:rPr>
          <w:rFonts w:hint="eastAsia" w:asciiTheme="minorEastAsia" w:hAnsiTheme="minorEastAsia" w:eastAsiaTheme="minorEastAsia"/>
          <w:b w:val="0"/>
          <w:bCs/>
          <w:color w:val="auto"/>
          <w:sz w:val="21"/>
          <w:szCs w:val="21"/>
          <w:highlight w:val="none"/>
          <w:u w:val="none"/>
        </w:rPr>
        <w:t>单价保留</w:t>
      </w:r>
      <w:r>
        <w:rPr>
          <w:rFonts w:hint="eastAsia" w:asciiTheme="minorEastAsia" w:hAnsiTheme="minorEastAsia"/>
          <w:b w:val="0"/>
          <w:bCs/>
          <w:color w:val="auto"/>
          <w:sz w:val="21"/>
          <w:szCs w:val="21"/>
          <w:highlight w:val="none"/>
          <w:u w:val="none"/>
          <w:lang w:val="en-US" w:eastAsia="zh-CN"/>
        </w:rPr>
        <w:t>两</w:t>
      </w:r>
      <w:r>
        <w:rPr>
          <w:rFonts w:hint="eastAsia" w:asciiTheme="minorEastAsia" w:hAnsiTheme="minorEastAsia" w:eastAsiaTheme="minorEastAsia"/>
          <w:b w:val="0"/>
          <w:bCs/>
          <w:color w:val="auto"/>
          <w:sz w:val="21"/>
          <w:szCs w:val="21"/>
          <w:highlight w:val="none"/>
          <w:u w:val="none"/>
        </w:rPr>
        <w:t>位小数点（四舍五入）；</w:t>
      </w:r>
      <w:r>
        <w:rPr>
          <w:rFonts w:ascii="宋体" w:hAnsi="宋体"/>
          <w:b w:val="0"/>
          <w:bCs/>
          <w:color w:val="auto"/>
          <w:u w:val="none"/>
        </w:rPr>
        <w:t>在本项目合同履行期间，该下浮率不作另行调整；</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bCs w:val="0"/>
          <w:color w:val="auto"/>
          <w:sz w:val="21"/>
          <w:szCs w:val="21"/>
          <w:u w:val="single"/>
          <w:lang w:eastAsia="zh-CN"/>
        </w:rPr>
      </w:pPr>
      <w:r>
        <w:rPr>
          <w:rFonts w:hint="eastAsia" w:asciiTheme="minorEastAsia" w:hAnsiTheme="minorEastAsia" w:cstheme="minorEastAsia"/>
          <w:b w:val="0"/>
          <w:bCs/>
          <w:color w:val="auto"/>
          <w:sz w:val="21"/>
          <w:szCs w:val="21"/>
          <w:u w:val="none"/>
          <w:lang w:val="en-US" w:eastAsia="zh-CN"/>
        </w:rPr>
        <w:t>4</w:t>
      </w:r>
      <w:r>
        <w:rPr>
          <w:rFonts w:hint="eastAsia" w:asciiTheme="minorEastAsia" w:hAnsiTheme="minorEastAsia" w:eastAsiaTheme="minorEastAsia" w:cstheme="minorEastAsia"/>
          <w:b w:val="0"/>
          <w:bCs/>
          <w:color w:val="auto"/>
          <w:sz w:val="21"/>
          <w:szCs w:val="21"/>
          <w:u w:val="none"/>
          <w:lang w:val="en-US" w:eastAsia="zh-CN"/>
        </w:rPr>
        <w:t>.</w:t>
      </w:r>
      <w:r>
        <w:rPr>
          <w:rFonts w:hint="eastAsia" w:asciiTheme="minorEastAsia" w:hAnsiTheme="minorEastAsia" w:eastAsiaTheme="minorEastAsia" w:cstheme="minorEastAsia"/>
          <w:b w:val="0"/>
          <w:bCs/>
          <w:color w:val="auto"/>
          <w:sz w:val="21"/>
          <w:szCs w:val="21"/>
        </w:rPr>
        <w:t>本项目不接受有选择性的报价，只允许报一个下浮率，</w:t>
      </w:r>
      <w:r>
        <w:rPr>
          <w:rFonts w:hint="eastAsia" w:asciiTheme="minorEastAsia" w:hAnsiTheme="minorEastAsia" w:eastAsiaTheme="minorEastAsia" w:cstheme="minorEastAsia"/>
          <w:b/>
          <w:bCs w:val="0"/>
          <w:color w:val="auto"/>
          <w:sz w:val="21"/>
          <w:szCs w:val="21"/>
          <w:u w:val="single"/>
        </w:rPr>
        <w:t>所报的下浮率适用</w:t>
      </w:r>
      <w:r>
        <w:rPr>
          <w:rFonts w:hint="eastAsia" w:asciiTheme="minorEastAsia" w:hAnsiTheme="minorEastAsia" w:cstheme="minorEastAsia"/>
          <w:b/>
          <w:bCs w:val="0"/>
          <w:color w:val="auto"/>
          <w:sz w:val="21"/>
          <w:szCs w:val="21"/>
          <w:u w:val="single"/>
          <w:lang w:val="en-US" w:eastAsia="zh-CN"/>
        </w:rPr>
        <w:t>采购清单</w:t>
      </w:r>
      <w:r>
        <w:rPr>
          <w:rFonts w:hint="eastAsia" w:asciiTheme="minorEastAsia" w:hAnsiTheme="minorEastAsia" w:eastAsiaTheme="minorEastAsia" w:cstheme="minorEastAsia"/>
          <w:b/>
          <w:bCs w:val="0"/>
          <w:color w:val="auto"/>
          <w:sz w:val="21"/>
          <w:szCs w:val="21"/>
          <w:u w:val="single"/>
        </w:rPr>
        <w:t>所有</w:t>
      </w:r>
      <w:r>
        <w:rPr>
          <w:rFonts w:hint="eastAsia" w:asciiTheme="minorEastAsia" w:hAnsiTheme="minorEastAsia" w:cstheme="minorEastAsia"/>
          <w:b/>
          <w:bCs w:val="0"/>
          <w:color w:val="auto"/>
          <w:sz w:val="21"/>
          <w:szCs w:val="21"/>
          <w:u w:val="single"/>
          <w:lang w:val="en-US" w:eastAsia="zh-CN"/>
        </w:rPr>
        <w:t>项目内容</w:t>
      </w:r>
      <w:r>
        <w:rPr>
          <w:rFonts w:hint="eastAsia" w:asciiTheme="minorEastAsia" w:hAnsiTheme="minorEastAsia" w:eastAsiaTheme="minorEastAsia" w:cstheme="minorEastAsia"/>
          <w:b/>
          <w:bCs w:val="0"/>
          <w:color w:val="auto"/>
          <w:sz w:val="21"/>
          <w:szCs w:val="21"/>
          <w:u w:val="single"/>
          <w:lang w:eastAsia="zh-CN"/>
        </w:rPr>
        <w:t>。</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val="0"/>
          <w:bCs/>
          <w:color w:val="auto"/>
          <w:sz w:val="21"/>
          <w:szCs w:val="21"/>
          <w:lang w:eastAsia="zh-CN"/>
        </w:rPr>
      </w:pPr>
    </w:p>
    <w:p>
      <w:pPr>
        <w:pStyle w:val="21"/>
        <w:rPr>
          <w:rFonts w:hint="eastAsia"/>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ED5C8"/>
    <w:multiLevelType w:val="multilevel"/>
    <w:tmpl w:val="BCFED5C8"/>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36A5433C"/>
    <w:multiLevelType w:val="singleLevel"/>
    <w:tmpl w:val="36A5433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CB5EF6"/>
    <w:rsid w:val="00E21113"/>
    <w:rsid w:val="00EE48ED"/>
    <w:rsid w:val="0155715C"/>
    <w:rsid w:val="01C728D0"/>
    <w:rsid w:val="02C06004"/>
    <w:rsid w:val="03356B49"/>
    <w:rsid w:val="04C27B6C"/>
    <w:rsid w:val="05601E08"/>
    <w:rsid w:val="059000B3"/>
    <w:rsid w:val="07A40D36"/>
    <w:rsid w:val="084E3E36"/>
    <w:rsid w:val="08F6786C"/>
    <w:rsid w:val="09C22DF1"/>
    <w:rsid w:val="0A62711E"/>
    <w:rsid w:val="0B3C2B55"/>
    <w:rsid w:val="0BC5664A"/>
    <w:rsid w:val="0BDA4A8E"/>
    <w:rsid w:val="0C373B85"/>
    <w:rsid w:val="0CAD59F1"/>
    <w:rsid w:val="0D226E45"/>
    <w:rsid w:val="0D934A87"/>
    <w:rsid w:val="0E8A03B0"/>
    <w:rsid w:val="0F1B3E67"/>
    <w:rsid w:val="10662DEA"/>
    <w:rsid w:val="10745D84"/>
    <w:rsid w:val="11B25927"/>
    <w:rsid w:val="11F65C3B"/>
    <w:rsid w:val="123D6A4D"/>
    <w:rsid w:val="1274634C"/>
    <w:rsid w:val="131902D0"/>
    <w:rsid w:val="1397165D"/>
    <w:rsid w:val="14F77FDF"/>
    <w:rsid w:val="16737FD7"/>
    <w:rsid w:val="16F50701"/>
    <w:rsid w:val="186D7D0F"/>
    <w:rsid w:val="19C1544E"/>
    <w:rsid w:val="19DA1D52"/>
    <w:rsid w:val="1B34727B"/>
    <w:rsid w:val="1B8637C9"/>
    <w:rsid w:val="1BED1A6A"/>
    <w:rsid w:val="1BFA5FCE"/>
    <w:rsid w:val="1C4818B8"/>
    <w:rsid w:val="1E0A1FE4"/>
    <w:rsid w:val="20947A18"/>
    <w:rsid w:val="20ED7CC3"/>
    <w:rsid w:val="21A03B8D"/>
    <w:rsid w:val="21A3268F"/>
    <w:rsid w:val="21C36F1F"/>
    <w:rsid w:val="21F7526F"/>
    <w:rsid w:val="255C570C"/>
    <w:rsid w:val="25E67716"/>
    <w:rsid w:val="264F26CE"/>
    <w:rsid w:val="265E0F6A"/>
    <w:rsid w:val="28A27EE1"/>
    <w:rsid w:val="29251E59"/>
    <w:rsid w:val="29421331"/>
    <w:rsid w:val="29AE135E"/>
    <w:rsid w:val="29EE0735"/>
    <w:rsid w:val="2AA661B2"/>
    <w:rsid w:val="2C3604EF"/>
    <w:rsid w:val="2C627AC8"/>
    <w:rsid w:val="2D5007B8"/>
    <w:rsid w:val="2D7B5115"/>
    <w:rsid w:val="2DBC2E0A"/>
    <w:rsid w:val="2F062F75"/>
    <w:rsid w:val="2F2F0429"/>
    <w:rsid w:val="2FB478F7"/>
    <w:rsid w:val="2FC95D81"/>
    <w:rsid w:val="303B299D"/>
    <w:rsid w:val="31006CD9"/>
    <w:rsid w:val="31041AAE"/>
    <w:rsid w:val="310606C6"/>
    <w:rsid w:val="31760054"/>
    <w:rsid w:val="318656D8"/>
    <w:rsid w:val="325231EF"/>
    <w:rsid w:val="332D2CD8"/>
    <w:rsid w:val="33597986"/>
    <w:rsid w:val="33875B21"/>
    <w:rsid w:val="34364FAB"/>
    <w:rsid w:val="36843AE7"/>
    <w:rsid w:val="37B54E1D"/>
    <w:rsid w:val="37B81BEC"/>
    <w:rsid w:val="38430852"/>
    <w:rsid w:val="38787AEA"/>
    <w:rsid w:val="38F92A66"/>
    <w:rsid w:val="3A8676EF"/>
    <w:rsid w:val="3ADC47D3"/>
    <w:rsid w:val="3B0E690B"/>
    <w:rsid w:val="3DC84A9A"/>
    <w:rsid w:val="3DFE6052"/>
    <w:rsid w:val="3EF24ED3"/>
    <w:rsid w:val="3FB21705"/>
    <w:rsid w:val="3FE77A82"/>
    <w:rsid w:val="4017186C"/>
    <w:rsid w:val="412B3BD0"/>
    <w:rsid w:val="41711287"/>
    <w:rsid w:val="435726A3"/>
    <w:rsid w:val="43F7549F"/>
    <w:rsid w:val="44074471"/>
    <w:rsid w:val="46024A63"/>
    <w:rsid w:val="4665423F"/>
    <w:rsid w:val="468E2CEF"/>
    <w:rsid w:val="47007902"/>
    <w:rsid w:val="494C2B06"/>
    <w:rsid w:val="4989289F"/>
    <w:rsid w:val="4B1B2583"/>
    <w:rsid w:val="4C7B4010"/>
    <w:rsid w:val="4D4A51B9"/>
    <w:rsid w:val="4D7805B5"/>
    <w:rsid w:val="4E306D68"/>
    <w:rsid w:val="4EB20057"/>
    <w:rsid w:val="4F3E14BF"/>
    <w:rsid w:val="4FB67A4E"/>
    <w:rsid w:val="50022F29"/>
    <w:rsid w:val="50D85556"/>
    <w:rsid w:val="50F9713C"/>
    <w:rsid w:val="515E7A70"/>
    <w:rsid w:val="517B4F66"/>
    <w:rsid w:val="5209190E"/>
    <w:rsid w:val="53B264F4"/>
    <w:rsid w:val="54117BA3"/>
    <w:rsid w:val="54561298"/>
    <w:rsid w:val="54B57A63"/>
    <w:rsid w:val="55B47A73"/>
    <w:rsid w:val="569F7A39"/>
    <w:rsid w:val="577B5528"/>
    <w:rsid w:val="587B3035"/>
    <w:rsid w:val="59F138CC"/>
    <w:rsid w:val="5AB76B2C"/>
    <w:rsid w:val="5ACF512A"/>
    <w:rsid w:val="5B4065D1"/>
    <w:rsid w:val="5B4A21F6"/>
    <w:rsid w:val="5B933CE4"/>
    <w:rsid w:val="5C3C3636"/>
    <w:rsid w:val="5CA85FC8"/>
    <w:rsid w:val="5EB66D4F"/>
    <w:rsid w:val="601F6302"/>
    <w:rsid w:val="61173B32"/>
    <w:rsid w:val="619F122B"/>
    <w:rsid w:val="63257394"/>
    <w:rsid w:val="63B9340E"/>
    <w:rsid w:val="63DB0545"/>
    <w:rsid w:val="6455458D"/>
    <w:rsid w:val="65B94EC2"/>
    <w:rsid w:val="692C1847"/>
    <w:rsid w:val="698F20E1"/>
    <w:rsid w:val="69CB1013"/>
    <w:rsid w:val="6A6A3C88"/>
    <w:rsid w:val="6ADD38AF"/>
    <w:rsid w:val="6BC46931"/>
    <w:rsid w:val="6D0D7448"/>
    <w:rsid w:val="6E3C39C3"/>
    <w:rsid w:val="6F8E3FB3"/>
    <w:rsid w:val="703334D2"/>
    <w:rsid w:val="70391CB1"/>
    <w:rsid w:val="710A6422"/>
    <w:rsid w:val="71AD6345"/>
    <w:rsid w:val="71BF53D6"/>
    <w:rsid w:val="71ED654D"/>
    <w:rsid w:val="71EF795E"/>
    <w:rsid w:val="720C154E"/>
    <w:rsid w:val="72150491"/>
    <w:rsid w:val="721A1E72"/>
    <w:rsid w:val="72F025FA"/>
    <w:rsid w:val="735340BF"/>
    <w:rsid w:val="73656151"/>
    <w:rsid w:val="745449E5"/>
    <w:rsid w:val="74747C07"/>
    <w:rsid w:val="74FC0165"/>
    <w:rsid w:val="762A42EA"/>
    <w:rsid w:val="77192436"/>
    <w:rsid w:val="77350F71"/>
    <w:rsid w:val="7745190F"/>
    <w:rsid w:val="77904BBB"/>
    <w:rsid w:val="77FF0EFA"/>
    <w:rsid w:val="78F4799D"/>
    <w:rsid w:val="7A8E2FE5"/>
    <w:rsid w:val="7DAC5C69"/>
    <w:rsid w:val="7EC040B2"/>
    <w:rsid w:val="7F312660"/>
    <w:rsid w:val="7FAD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6">
    <w:name w:val="Normal Indent"/>
    <w:basedOn w:val="1"/>
    <w:qFormat/>
    <w:uiPriority w:val="0"/>
    <w:pPr>
      <w:ind w:firstLine="420"/>
    </w:pPr>
    <w:rPr>
      <w:szCs w:val="20"/>
    </w:rPr>
  </w:style>
  <w:style w:type="paragraph" w:styleId="7">
    <w:name w:val="Body Text"/>
    <w:basedOn w:val="1"/>
    <w:qFormat/>
    <w:uiPriority w:val="0"/>
    <w:pPr>
      <w:tabs>
        <w:tab w:val="left" w:pos="562"/>
        <w:tab w:val="left" w:pos="3372"/>
        <w:tab w:val="left" w:pos="3653"/>
      </w:tabs>
    </w:pPr>
    <w:rPr>
      <w:sz w:val="24"/>
    </w:rPr>
  </w:style>
  <w:style w:type="paragraph" w:styleId="8">
    <w:name w:val="Body Text Indent"/>
    <w:basedOn w:val="1"/>
    <w:next w:val="9"/>
    <w:qFormat/>
    <w:uiPriority w:val="0"/>
    <w:pPr>
      <w:ind w:left="420"/>
    </w:pPr>
  </w:style>
  <w:style w:type="paragraph" w:styleId="9">
    <w:name w:val="envelope return"/>
    <w:basedOn w:val="1"/>
    <w:qFormat/>
    <w:uiPriority w:val="0"/>
    <w:pPr>
      <w:autoSpaceDE/>
      <w:autoSpaceDN/>
      <w:adjustRightInd/>
      <w:snapToGrid w:val="0"/>
      <w:jc w:val="both"/>
    </w:pPr>
    <w:rPr>
      <w:rFonts w:ascii="Arial" w:hAnsi="Arial" w:cs="Arial"/>
      <w:kern w:val="2"/>
      <w:sz w:val="21"/>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8"/>
    <w:qFormat/>
    <w:uiPriority w:val="0"/>
    <w:pPr>
      <w:widowControl/>
      <w:spacing w:after="120"/>
      <w:ind w:leftChars="200" w:firstLine="420" w:firstLineChars="200"/>
      <w:jc w:val="left"/>
    </w:pPr>
    <w:rPr>
      <w:rFonts w:ascii="Times New Roman" w:hAnsi="Times New Roman"/>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center"/>
    </w:pPr>
    <w:rPr>
      <w:b/>
      <w:bCs/>
      <w:caps/>
      <w:sz w:val="28"/>
      <w:szCs w:val="28"/>
    </w:rPr>
  </w:style>
  <w:style w:type="paragraph" w:styleId="15">
    <w:name w:val="toc 2"/>
    <w:basedOn w:val="1"/>
    <w:next w:val="1"/>
    <w:unhideWhenUsed/>
    <w:qFormat/>
    <w:uiPriority w:val="39"/>
    <w:pPr>
      <w:ind w:left="420" w:leftChars="200"/>
      <w:jc w:val="left"/>
    </w:pPr>
    <w:rPr>
      <w:sz w:val="24"/>
    </w:rPr>
  </w:style>
  <w:style w:type="paragraph" w:styleId="16">
    <w:name w:val="Normal (Web)"/>
    <w:basedOn w:val="1"/>
    <w:qFormat/>
    <w:uiPriority w:val="0"/>
    <w:rPr>
      <w:sz w:val="24"/>
    </w:rPr>
  </w:style>
  <w:style w:type="character" w:styleId="18">
    <w:name w:val="Hyperlink"/>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_Style 3"/>
    <w:basedOn w:val="1"/>
    <w:qFormat/>
    <w:uiPriority w:val="0"/>
    <w:pPr>
      <w:ind w:firstLine="420" w:firstLineChars="200"/>
    </w:pPr>
    <w:rPr>
      <w:sz w:val="20"/>
    </w:rPr>
  </w:style>
  <w:style w:type="paragraph" w:customStyle="1" w:styleId="22">
    <w:name w:val="List Paragraph"/>
    <w:basedOn w:val="1"/>
    <w:qFormat/>
    <w:uiPriority w:val="34"/>
    <w:pPr>
      <w:ind w:firstLine="420" w:firstLineChars="200"/>
    </w:pPr>
  </w:style>
  <w:style w:type="paragraph" w:customStyle="1" w:styleId="23">
    <w:name w:val="列出段落1"/>
    <w:basedOn w:val="1"/>
    <w:qFormat/>
    <w:uiPriority w:val="34"/>
    <w:pPr>
      <w:ind w:firstLine="420" w:firstLineChars="200"/>
    </w:pPr>
  </w:style>
  <w:style w:type="paragraph" w:customStyle="1" w:styleId="24">
    <w:name w:val="保留正文"/>
    <w:basedOn w:val="7"/>
    <w:qFormat/>
    <w:uiPriority w:val="0"/>
    <w:pPr>
      <w:keepNext/>
      <w:spacing w:after="160"/>
    </w:pPr>
    <w:rPr>
      <w:sz w:val="21"/>
    </w:rPr>
  </w:style>
  <w:style w:type="character" w:customStyle="1" w:styleId="25">
    <w:name w:val="NormalCharacter"/>
    <w:semiHidden/>
    <w:qFormat/>
    <w:uiPriority w:val="99"/>
  </w:style>
  <w:style w:type="character" w:customStyle="1" w:styleId="26">
    <w:name w:val="font0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2023-06-21T02:32:00Z</cp:lastPrinted>
  <dcterms:modified xsi:type="dcterms:W3CDTF">2024-12-12T08:52:41Z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