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600" w:lineRule="atLeast"/>
        <w:jc w:val="center"/>
        <w:rPr>
          <w:rFonts w:hint="eastAsia" w:ascii="微软雅黑" w:hAnsi="微软雅黑" w:eastAsia="微软雅黑"/>
          <w:color w:val="222222"/>
          <w:sz w:val="42"/>
          <w:szCs w:val="42"/>
        </w:rPr>
      </w:pPr>
      <w:r>
        <w:rPr>
          <w:rFonts w:hint="eastAsia" w:ascii="微软雅黑" w:hAnsi="微软雅黑" w:eastAsia="微软雅黑"/>
          <w:color w:val="222222"/>
          <w:sz w:val="42"/>
          <w:szCs w:val="42"/>
        </w:rPr>
        <w:t>粤东片区监狱（河源、梅州、揭阳）2024-2025年度罪犯大宗生活物资（生鲜蔬果及塘鱼）</w:t>
      </w:r>
    </w:p>
    <w:p>
      <w:pPr>
        <w:pStyle w:val="2"/>
        <w:shd w:val="clear" w:color="auto" w:fill="FFFFFF"/>
        <w:spacing w:before="0" w:after="0" w:line="600" w:lineRule="atLeast"/>
        <w:jc w:val="center"/>
        <w:rPr>
          <w:rFonts w:hint="eastAsia" w:ascii="微软雅黑" w:hAnsi="微软雅黑" w:eastAsia="微软雅黑"/>
          <w:color w:val="222222"/>
          <w:sz w:val="42"/>
          <w:szCs w:val="42"/>
        </w:rPr>
      </w:pPr>
      <w:r>
        <w:rPr>
          <w:rFonts w:hint="eastAsia" w:ascii="微软雅黑" w:hAnsi="微软雅黑" w:eastAsia="微软雅黑"/>
          <w:color w:val="222222"/>
          <w:sz w:val="42"/>
          <w:szCs w:val="42"/>
        </w:rPr>
        <w:t>采购项目结果公告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一、项目编号：GPCGD242201HG238F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二、项目名称：粤东片区监狱（河源、梅州、揭阳）2024-2025年度罪犯大宗生活物资（生鲜蔬果及塘鱼）采购项目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三、采购结果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合同包1(粤东片区监狱（河源、梅州、揭阳）2024-2025年度罪犯大宗生活物资（生鲜蔬果及塘鱼）):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2732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佛山市京微食品贸易有限公司</w:t>
            </w:r>
          </w:p>
        </w:tc>
        <w:tc>
          <w:tcPr>
            <w:tcW w:w="2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佛山市南海区狮山镇松岗万石工业区自编25号202室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折扣率：28.00%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四、主要标的信息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合同包1(粤东片区监狱（河源、梅州、揭阳）2024-2025年度罪犯大宗生活物资（生鲜蔬果及塘鱼）):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货物类（佛山市京微食品贸易有限公司）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36"/>
        <w:gridCol w:w="665"/>
        <w:gridCol w:w="629"/>
        <w:gridCol w:w="776"/>
        <w:gridCol w:w="925"/>
        <w:gridCol w:w="2041"/>
        <w:gridCol w:w="2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数量（单位）</w:t>
            </w:r>
          </w:p>
        </w:tc>
        <w:tc>
          <w:tcPr>
            <w:tcW w:w="2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蔬菜</w:t>
            </w:r>
          </w:p>
        </w:tc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冬瓜</w:t>
            </w:r>
          </w:p>
        </w:tc>
        <w:tc>
          <w:tcPr>
            <w:tcW w:w="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京微</w:t>
            </w:r>
          </w:p>
        </w:tc>
        <w:tc>
          <w:tcPr>
            <w:tcW w:w="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按照采购需求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1.0000(批)</w:t>
            </w:r>
          </w:p>
        </w:tc>
        <w:tc>
          <w:tcPr>
            <w:tcW w:w="2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3,000,420.0000</w:t>
            </w:r>
          </w:p>
        </w:tc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3,000,420.0000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1-2</w:t>
            </w: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其他农副食品，动、植物油制品</w:t>
            </w:r>
          </w:p>
        </w:tc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其他生鲜蔬果及塘鱼</w:t>
            </w:r>
          </w:p>
        </w:tc>
        <w:tc>
          <w:tcPr>
            <w:tcW w:w="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京微</w:t>
            </w:r>
          </w:p>
        </w:tc>
        <w:tc>
          <w:tcPr>
            <w:tcW w:w="7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按照采购需求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1.0000(批)</w:t>
            </w:r>
          </w:p>
        </w:tc>
        <w:tc>
          <w:tcPr>
            <w:tcW w:w="2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11,757,693.0000</w:t>
            </w:r>
          </w:p>
        </w:tc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11,757,693.0000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丁实蓉（采购人代表）、伍莉婷、曾淑燕、潘冬冬、谭才邓、江化丁、陈俊芃（采购人代表）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六、代理服务收费标准及金额：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651"/>
        <w:gridCol w:w="3428"/>
        <w:gridCol w:w="8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23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代理服务收费标准</w:t>
            </w:r>
          </w:p>
        </w:tc>
        <w:tc>
          <w:tcPr>
            <w:tcW w:w="431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按照委托代理协议约定执行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合同包号</w:t>
            </w:r>
          </w:p>
        </w:tc>
        <w:tc>
          <w:tcPr>
            <w:tcW w:w="36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合同包名称</w:t>
            </w:r>
          </w:p>
        </w:tc>
        <w:tc>
          <w:tcPr>
            <w:tcW w:w="34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代理服务费金额（万元）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粤东片区监狱（河源、梅州、揭阳）2024-2025年度罪犯大宗生活物资（生鲜蔬果及塘鱼）</w:t>
            </w:r>
          </w:p>
        </w:tc>
        <w:tc>
          <w:tcPr>
            <w:tcW w:w="34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12.0334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中标（成交）供应商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七、公告期限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自本公告发布之日起1个工作日。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FFFFFF"/>
        <w:wordWrap w:val="0"/>
        <w:spacing w:line="480" w:lineRule="auto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合同包1(粤东片区监狱（河源、梅州、揭阳）2024-2025年度罪犯大宗生活物资（生鲜蔬果及塘鱼）):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134"/>
        <w:gridCol w:w="992"/>
        <w:gridCol w:w="851"/>
        <w:gridCol w:w="850"/>
        <w:gridCol w:w="851"/>
        <w:gridCol w:w="943"/>
        <w:gridCol w:w="48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符合性审查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价格得分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得分排名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佛山市京微食品贸易有限公司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33.29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40.00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92.86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广州旺满嘉贸易有限公司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33.71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29.47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86.75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佛山市农粤食品有限公司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33.57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28.72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85.86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广东金誉生态农业科技发展有限公司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23.86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27.65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85.51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广东海顺食品科技有限公司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33.71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23.86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26.67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84.24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广东山里果蔬实业有限公司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33.57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10.43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21.54</w:t>
            </w:r>
          </w:p>
        </w:tc>
        <w:tc>
          <w:tcPr>
            <w:tcW w:w="9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65.54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广东雪印集团有限公司</w:t>
            </w:r>
          </w:p>
        </w:tc>
        <w:tc>
          <w:tcPr>
            <w:tcW w:w="6583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不通过资格性审查,原因是：有依法缴纳税收和社会保障资金的良好记录评审不通过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惠州市惠捷农产品有限公司</w:t>
            </w:r>
          </w:p>
        </w:tc>
        <w:tc>
          <w:tcPr>
            <w:tcW w:w="6583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不通过资格性审查,原因是：本采购包专门面向中小企业采购评审不通过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名  称：广东省河源监狱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地  址：广东省河源市源城区东环路南二号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联系方式：0762-3285788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名  称：广东省政府采购中心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地  址：广东省广州市越秀区越华路112号珠江国际大厦3楼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联系方式：020-83187183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项目联系人：邹工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电  话：020-83187183</w:t>
      </w:r>
    </w:p>
    <w:p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广东省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河源监狱</w:t>
      </w:r>
    </w:p>
    <w:p>
      <w:pPr>
        <w:widowControl/>
        <w:shd w:val="clear" w:color="auto" w:fill="FFFFFF"/>
        <w:wordWrap/>
        <w:spacing w:line="480" w:lineRule="atLeast"/>
        <w:ind w:firstLine="480"/>
        <w:jc w:val="right"/>
        <w:rPr>
          <w:rFonts w:hint="default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2024年12月27日</w:t>
      </w:r>
    </w:p>
    <w:p>
      <w:pPr>
        <w:widowControl/>
        <w:shd w:val="clear" w:color="auto" w:fill="FFFFFF"/>
        <w:wordWrap w:val="0"/>
        <w:spacing w:line="48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754"/>
    <w:rsid w:val="0016544A"/>
    <w:rsid w:val="00473754"/>
    <w:rsid w:val="67A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6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4 Char"/>
    <w:basedOn w:val="8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标题 6 Char"/>
    <w:basedOn w:val="8"/>
    <w:link w:val="4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6">
    <w:name w:val="u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u-content1"/>
    <w:basedOn w:val="8"/>
    <w:uiPriority w:val="0"/>
  </w:style>
  <w:style w:type="character" w:customStyle="1" w:styleId="18">
    <w:name w:val="标题 1 Char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238</Words>
  <Characters>1363</Characters>
  <Lines>11</Lines>
  <Paragraphs>3</Paragraphs>
  <TotalTime>1</TotalTime>
  <ScaleCrop>false</ScaleCrop>
  <LinksUpToDate>false</LinksUpToDate>
  <CharactersWithSpaces>1598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2024-12-26T10:59:00Z</dcterms:created>
  <dc:creator>邹炜阳</dc:creator>
  <cp:lastModifiedBy>廖敏</cp:lastModifiedBy>
  <dcterms:modified xsi:type="dcterms:W3CDTF">2024-12-27T01:10:25Z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