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比</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eastAsia" w:asciiTheme="majorEastAsia" w:hAnsiTheme="majorEastAsia" w:eastAsiaTheme="majorEastAsia" w:cstheme="majorEastAsia"/>
          <w:sz w:val="32"/>
          <w:szCs w:val="32"/>
          <w:u w:val="single"/>
          <w:lang w:val="en-US" w:eastAsia="zh-CN"/>
        </w:rPr>
      </w:pPr>
      <w:r>
        <w:rPr>
          <w:rFonts w:hint="eastAsia"/>
          <w:sz w:val="32"/>
          <w:szCs w:val="32"/>
          <w:lang w:val="en-US" w:eastAsia="zh-CN"/>
        </w:rPr>
        <w:t>项目编号：</w:t>
      </w:r>
      <w:r>
        <w:rPr>
          <w:rFonts w:hint="eastAsia" w:asciiTheme="majorEastAsia" w:hAnsiTheme="majorEastAsia" w:eastAsiaTheme="majorEastAsia" w:cstheme="majorEastAsia"/>
          <w:sz w:val="32"/>
          <w:szCs w:val="32"/>
          <w:u w:val="single"/>
          <w:lang w:val="en-US" w:eastAsia="zh-CN"/>
        </w:rPr>
        <w:t xml:space="preserve">  2025004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u w:val="none"/>
        </w:rPr>
        <w:t>项</w:t>
      </w:r>
      <w:r>
        <w:rPr>
          <w:rFonts w:hint="eastAsia" w:asciiTheme="minorEastAsia" w:hAnsiTheme="minorEastAsia" w:eastAsiaTheme="minorEastAsia" w:cstheme="minorEastAsia"/>
          <w:sz w:val="32"/>
          <w:szCs w:val="32"/>
          <w:u w:val="none"/>
          <w:lang w:val="en-US" w:eastAsia="zh-CN"/>
        </w:rPr>
        <w:t>目名称：</w:t>
      </w:r>
      <w:r>
        <w:rPr>
          <w:rFonts w:hint="eastAsia" w:asciiTheme="minorEastAsia" w:hAnsiTheme="minorEastAsia" w:eastAsiaTheme="minorEastAsia" w:cstheme="minorEastAsia"/>
          <w:sz w:val="32"/>
          <w:szCs w:val="32"/>
          <w:u w:val="single"/>
          <w:lang w:val="en-US" w:eastAsia="zh-CN"/>
        </w:rPr>
        <w:t>广东省河源监狱</w:t>
      </w:r>
      <w:r>
        <w:rPr>
          <w:rFonts w:hint="eastAsia" w:asciiTheme="minorEastAsia" w:hAnsiTheme="minorEastAsia" w:cstheme="minorEastAsia"/>
          <w:sz w:val="32"/>
          <w:szCs w:val="32"/>
          <w:u w:val="single"/>
          <w:lang w:val="en-US" w:eastAsia="zh-CN"/>
        </w:rPr>
        <w:t>污水处理站运营托管服务</w:t>
      </w:r>
      <w:r>
        <w:rPr>
          <w:rFonts w:hint="eastAsia" w:asciiTheme="minorEastAsia" w:hAnsiTheme="minorEastAsia" w:eastAsiaTheme="minorEastAsia" w:cstheme="minorEastAsia"/>
          <w:sz w:val="32"/>
          <w:szCs w:val="32"/>
          <w:u w:val="single"/>
          <w:lang w:val="en-US" w:eastAsia="zh-CN"/>
        </w:rPr>
        <w:t xml:space="preserve">项目  </w:t>
      </w:r>
    </w:p>
    <w:p>
      <w:pPr>
        <w:ind w:left="0" w:leftChars="0" w:firstLine="640" w:firstLineChars="200"/>
        <w:rPr>
          <w:rFonts w:hint="eastAsia" w:asciiTheme="minorEastAsia" w:hAnsiTheme="minorEastAsia" w:eastAsiaTheme="minorEastAsia" w:cstheme="minorEastAsia"/>
          <w:sz w:val="32"/>
          <w:szCs w:val="32"/>
          <w:lang w:val="en-US" w:eastAsia="zh-CN"/>
        </w:rPr>
      </w:pPr>
      <w:r>
        <w:rPr>
          <w:rFonts w:hint="eastAsia"/>
          <w:sz w:val="32"/>
          <w:szCs w:val="32"/>
        </w:rPr>
        <w:t>采购方式：</w:t>
      </w:r>
      <w:r>
        <w:rPr>
          <w:rFonts w:hint="eastAsia" w:asciiTheme="minorEastAsia" w:hAnsiTheme="minorEastAsia" w:eastAsiaTheme="minorEastAsia" w:cstheme="minorEastAsia"/>
          <w:sz w:val="32"/>
          <w:szCs w:val="32"/>
          <w:u w:val="single"/>
          <w:lang w:val="en-US" w:eastAsia="zh-CN"/>
        </w:rPr>
        <w:t xml:space="preserve">  比价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18"/>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2025</w:t>
      </w:r>
      <w:r>
        <w:rPr>
          <w:rFonts w:hint="eastAsia"/>
          <w:sz w:val="32"/>
          <w:szCs w:val="32"/>
        </w:rPr>
        <w:t>年</w:t>
      </w:r>
      <w:r>
        <w:rPr>
          <w:rFonts w:hint="eastAsia"/>
          <w:sz w:val="32"/>
          <w:szCs w:val="32"/>
          <w:lang w:val="en-US" w:eastAsia="zh-CN"/>
        </w:rPr>
        <w:t>2</w:t>
      </w:r>
      <w:r>
        <w:rPr>
          <w:rFonts w:hint="eastAsia"/>
          <w:sz w:val="32"/>
          <w:szCs w:val="32"/>
        </w:rPr>
        <w:t>月</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rPr>
          <w:rFonts w:hint="eastAsia"/>
          <w:sz w:val="32"/>
          <w:szCs w:val="32"/>
        </w:r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footerReference r:id="rId3" w:type="default"/>
          <w:pgSz w:w="11906" w:h="16838"/>
          <w:pgMar w:top="1701" w:right="1587" w:bottom="1701" w:left="1531" w:header="851" w:footer="992" w:gutter="0"/>
          <w:pgNumType w:fmt="decimal" w:start="1"/>
          <w:cols w:space="0" w:num="1"/>
          <w:rtlGutter w:val="0"/>
          <w:docGrid w:type="lines" w:linePitch="312" w:charSpace="0"/>
        </w:sect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5"/>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5"/>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5"/>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5"/>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5"/>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5"/>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5"/>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5"/>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5"/>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5"/>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5"/>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5"/>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5"/>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5"/>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5</w:t>
      </w:r>
    </w:p>
    <w:p>
      <w:pPr>
        <w:rPr>
          <w:rFonts w:hint="eastAsia"/>
        </w:rPr>
      </w:pPr>
    </w:p>
    <w:p>
      <w:pPr>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18"/>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比价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比价</w:t>
      </w:r>
      <w:r>
        <w:rPr>
          <w:rFonts w:hint="eastAsia"/>
        </w:rPr>
        <w:t>的供应商应承担所有与准备和参加</w:t>
      </w:r>
      <w:r>
        <w:rPr>
          <w:rFonts w:hint="eastAsia"/>
          <w:lang w:eastAsia="zh-CN"/>
        </w:rPr>
        <w:t>比价</w:t>
      </w:r>
      <w:r>
        <w:rPr>
          <w:rFonts w:hint="eastAsia"/>
        </w:rPr>
        <w:t>有关的费用，不论</w:t>
      </w:r>
      <w:r>
        <w:rPr>
          <w:rFonts w:hint="eastAsia"/>
          <w:lang w:eastAsia="zh-CN"/>
        </w:rPr>
        <w:t>比价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比价</w:t>
      </w:r>
      <w:r>
        <w:rPr>
          <w:rFonts w:hint="eastAsia"/>
        </w:rPr>
        <w:t>附件的格式填写，不得增加或删除表格内容。除单价、金额或项目要求填写的内容外，不得擅自改动</w:t>
      </w:r>
      <w:r>
        <w:rPr>
          <w:rFonts w:hint="eastAsia"/>
          <w:lang w:eastAsia="zh-CN"/>
        </w:rPr>
        <w:t>比价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比价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比价</w:t>
      </w:r>
      <w:r>
        <w:rPr>
          <w:rFonts w:hint="eastAsia"/>
        </w:rPr>
        <w:t>采购失败，采购人将重新采购，届时采购人有权根据项目具体情况，决定重新采购项目的采购方式；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比价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比价</w:t>
      </w:r>
      <w:r>
        <w:rPr>
          <w:rFonts w:hint="eastAsia"/>
        </w:rPr>
        <w:t>的供应商所提交的</w:t>
      </w:r>
      <w:r>
        <w:rPr>
          <w:rFonts w:hint="eastAsia"/>
          <w:lang w:eastAsia="zh-CN"/>
        </w:rPr>
        <w:t>比价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比价</w:t>
      </w:r>
      <w:r>
        <w:rPr>
          <w:rFonts w:hint="eastAsia"/>
        </w:rPr>
        <w:t>的供应商应认真阅读、并充分理解</w:t>
      </w:r>
      <w:r>
        <w:rPr>
          <w:rFonts w:hint="eastAsia"/>
          <w:lang w:eastAsia="zh-CN"/>
        </w:rPr>
        <w:t>比价</w:t>
      </w:r>
      <w:r>
        <w:rPr>
          <w:rFonts w:hint="eastAsia"/>
        </w:rPr>
        <w:t>文件的全部内容（包括所有的补充、修改内容重要事项、格式、条款、服务要求和技术规范、参数及要求等）。供应商没有按照</w:t>
      </w:r>
      <w:r>
        <w:rPr>
          <w:rFonts w:hint="eastAsia"/>
          <w:lang w:eastAsia="zh-CN"/>
        </w:rPr>
        <w:t>比价</w:t>
      </w:r>
      <w:r>
        <w:rPr>
          <w:rFonts w:hint="eastAsia"/>
        </w:rPr>
        <w:t>文件要求提交全部资料，或者参与</w:t>
      </w:r>
      <w:r>
        <w:rPr>
          <w:rFonts w:hint="eastAsia"/>
          <w:lang w:eastAsia="zh-CN"/>
        </w:rPr>
        <w:t>比价</w:t>
      </w:r>
      <w:r>
        <w:rPr>
          <w:rFonts w:hint="eastAsia"/>
        </w:rPr>
        <w:t>所上传的文件没有对</w:t>
      </w:r>
      <w:r>
        <w:rPr>
          <w:rFonts w:hint="eastAsia"/>
          <w:lang w:eastAsia="zh-CN"/>
        </w:rPr>
        <w:t>比价</w:t>
      </w:r>
      <w:r>
        <w:rPr>
          <w:rFonts w:hint="eastAsia"/>
        </w:rPr>
        <w:t>文件在各方面都作出实质性响应是供应商的风险，有可能导致其</w:t>
      </w:r>
      <w:r>
        <w:rPr>
          <w:rFonts w:hint="eastAsia"/>
          <w:lang w:eastAsia="zh-CN"/>
        </w:rPr>
        <w:t>比价</w:t>
      </w:r>
      <w:r>
        <w:rPr>
          <w:rFonts w:hint="eastAsia"/>
        </w:rPr>
        <w:t>被拒绝，或被认定为无效</w:t>
      </w:r>
      <w:r>
        <w:rPr>
          <w:rFonts w:hint="eastAsia"/>
          <w:lang w:eastAsia="zh-CN"/>
        </w:rPr>
        <w:t>比价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w:t>
      </w:r>
      <w:r>
        <w:rPr>
          <w:rFonts w:hint="eastAsia"/>
          <w:b/>
          <w:bCs/>
        </w:rPr>
        <w:t>报价提交资料</w:t>
      </w:r>
    </w:p>
    <w:p>
      <w:pPr>
        <w:pStyle w:val="13"/>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供应商应根据本公告要求，完整、真实、准确地填写相应报价附件，并对</w:t>
      </w:r>
      <w:r>
        <w:rPr>
          <w:rFonts w:hint="eastAsia" w:asciiTheme="minorEastAsia" w:hAnsiTheme="minorEastAsia" w:eastAsiaTheme="minorEastAsia" w:cstheme="minorEastAsia"/>
          <w:sz w:val="21"/>
          <w:szCs w:val="21"/>
          <w:lang w:eastAsia="zh-CN"/>
        </w:rPr>
        <w:t>比价</w:t>
      </w:r>
      <w:r>
        <w:rPr>
          <w:rFonts w:hint="eastAsia" w:asciiTheme="minorEastAsia" w:hAnsiTheme="minorEastAsia" w:eastAsiaTheme="minorEastAsia" w:cstheme="minorEastAsia"/>
          <w:sz w:val="21"/>
          <w:szCs w:val="21"/>
        </w:rPr>
        <w:t>文件资料承担责任。</w:t>
      </w:r>
    </w:p>
    <w:p>
      <w:pPr>
        <w:pStyle w:val="13"/>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（二）供应商应一式一份提交报价文件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家，投标报价最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四</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家以上情形时，以当场摇珠形式选取本项目实施单位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比价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比价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比价文件中，如标有“★”的条款均为必须完全满足指标，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Style w:val="23"/>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（六）供应商法定代表人或授权委托人出席市场比价活动时，未按要求出示授权委托书原件或本人身份证原件确认/电子身份证确认的；</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eastAsiaTheme="minorEastAsia"/>
          <w:lang w:val="en-US" w:eastAsia="zh-CN"/>
        </w:rPr>
      </w:pPr>
      <w:r>
        <w:rPr>
          <w:rFonts w:hint="eastAsia"/>
          <w:lang w:eastAsia="zh-CN"/>
        </w:rPr>
        <w:t>（</w:t>
      </w:r>
      <w:r>
        <w:rPr>
          <w:rFonts w:hint="eastAsia"/>
          <w:lang w:val="en-US" w:eastAsia="zh-CN"/>
        </w:rPr>
        <w:t>七</w:t>
      </w:r>
      <w:r>
        <w:rPr>
          <w:rFonts w:hint="eastAsia"/>
          <w:lang w:eastAsia="zh-CN"/>
        </w:rPr>
        <w:t>）</w:t>
      </w:r>
      <w:r>
        <w:rPr>
          <w:rFonts w:hint="eastAsia"/>
        </w:rPr>
        <w:t>按有关法律、法规、规章属于报价无效的</w:t>
      </w:r>
      <w:r>
        <w:rPr>
          <w:rFonts w:hint="eastAsia"/>
          <w:lang w:val="en-US" w:eastAsia="zh-CN"/>
        </w:rPr>
        <w:t>；</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eastAsia="zh-CN"/>
        </w:rPr>
        <w:t>（</w:t>
      </w:r>
      <w:r>
        <w:rPr>
          <w:rFonts w:hint="eastAsia"/>
          <w:lang w:val="en-US" w:eastAsia="zh-CN"/>
        </w:rPr>
        <w:t>八</w:t>
      </w:r>
      <w:r>
        <w:rPr>
          <w:rFonts w:hint="eastAsia"/>
          <w:lang w:eastAsia="zh-CN"/>
        </w:rPr>
        <w:t>）</w:t>
      </w:r>
      <w:r>
        <w:rPr>
          <w:rFonts w:hint="eastAsia"/>
        </w:rPr>
        <w:t>有下列情形之一的，视为串通</w:t>
      </w:r>
      <w:r>
        <w:rPr>
          <w:rFonts w:hint="eastAsia"/>
          <w:lang w:eastAsia="zh-CN"/>
        </w:rPr>
        <w:t>比价</w:t>
      </w:r>
      <w:r>
        <w:rPr>
          <w:rFonts w:hint="eastAsia"/>
        </w:rPr>
        <w:t>，其报价无效：</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比价</w:t>
      </w:r>
      <w:r>
        <w:rPr>
          <w:rFonts w:hint="eastAsia"/>
        </w:rPr>
        <w:t>项目；</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2.</w:t>
      </w:r>
      <w:r>
        <w:rPr>
          <w:rFonts w:hint="eastAsia"/>
        </w:rPr>
        <w:t>不同供应商的响应文件由同一单位或者个人编制；</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3.</w:t>
      </w:r>
      <w:r>
        <w:rPr>
          <w:rFonts w:hint="eastAsia"/>
        </w:rPr>
        <w:t>不同供应商委托同一单位或者个人办理</w:t>
      </w:r>
      <w:r>
        <w:rPr>
          <w:rFonts w:hint="eastAsia"/>
          <w:lang w:eastAsia="zh-CN"/>
        </w:rPr>
        <w:t>比价</w:t>
      </w:r>
      <w:r>
        <w:rPr>
          <w:rFonts w:hint="eastAsia"/>
        </w:rPr>
        <w:t>事宜；</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4.</w:t>
      </w:r>
      <w:r>
        <w:rPr>
          <w:rFonts w:hint="eastAsia"/>
        </w:rPr>
        <w:t>不同供应商的响应文件载明的项目管理成员或者联系人员为同一人；</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5.</w:t>
      </w:r>
      <w:r>
        <w:rPr>
          <w:rFonts w:hint="eastAsia"/>
        </w:rPr>
        <w:t>不同供应商的响应文件异常一致或者报价呈规律性差异；</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比价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二</w:t>
      </w:r>
      <w:r>
        <w:rPr>
          <w:rFonts w:hint="eastAsia"/>
          <w:lang w:eastAsia="zh-CN"/>
        </w:rPr>
        <w:t>）</w:t>
      </w:r>
      <w:r>
        <w:rPr>
          <w:rFonts w:hint="eastAsia"/>
        </w:rPr>
        <w:t>因重大变故，采购任务取消的</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（三）响应供应商少于3家的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keepNext w:val="0"/>
        <w:keepLines w:val="0"/>
        <w:pageBreakBefore w:val="0"/>
        <w:numPr>
          <w:ilvl w:val="0"/>
          <w:numId w:val="1"/>
        </w:numPr>
        <w:kinsoku/>
        <w:wordWrap/>
        <w:overflowPunct/>
        <w:topLinePunct w:val="0"/>
        <w:autoSpaceDE/>
        <w:autoSpaceDN/>
        <w:bidi w:val="0"/>
        <w:spacing w:line="520" w:lineRule="exact"/>
        <w:ind w:left="0" w:leftChars="0" w:firstLine="0" w:firstLineChars="0"/>
        <w:jc w:val="center"/>
        <w:textAlignment w:val="auto"/>
        <w:outlineLvl w:val="9"/>
        <w:rPr>
          <w:rFonts w:hint="eastAsia"/>
          <w:b/>
          <w:bCs/>
          <w:sz w:val="32"/>
          <w:szCs w:val="32"/>
        </w:rPr>
      </w:pPr>
      <w:r>
        <w:rPr>
          <w:rFonts w:hint="eastAsia"/>
          <w:b/>
          <w:bCs/>
          <w:sz w:val="32"/>
          <w:szCs w:val="32"/>
        </w:rPr>
        <w:t>用户需求书</w:t>
      </w:r>
    </w:p>
    <w:p>
      <w:pPr>
        <w:keepNext w:val="0"/>
        <w:keepLines w:val="0"/>
        <w:pageBreakBefore w:val="0"/>
        <w:numPr>
          <w:ilvl w:val="0"/>
          <w:numId w:val="0"/>
        </w:numPr>
        <w:kinsoku/>
        <w:wordWrap/>
        <w:overflowPunct/>
        <w:topLinePunct w:val="0"/>
        <w:autoSpaceDE/>
        <w:autoSpaceDN/>
        <w:bidi w:val="0"/>
        <w:spacing w:line="520" w:lineRule="exact"/>
        <w:ind w:leftChars="0"/>
        <w:jc w:val="both"/>
        <w:textAlignment w:val="auto"/>
        <w:outlineLvl w:val="9"/>
        <w:rPr>
          <w:rStyle w:val="14"/>
          <w:rFonts w:hint="eastAsia" w:ascii="黑体" w:hAnsi="黑体" w:eastAsia="黑体" w:cs="黑体"/>
          <w:b w:val="0"/>
          <w:bCs w:val="0"/>
          <w:sz w:val="32"/>
          <w:szCs w:val="32"/>
          <w:lang w:eastAsia="zh-CN"/>
        </w:rPr>
      </w:pP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一、项目概述</w:t>
      </w:r>
    </w:p>
    <w:p>
      <w:pPr>
        <w:pageBreakBefore w:val="0"/>
        <w:kinsoku/>
        <w:wordWrap/>
        <w:overflowPunct/>
        <w:topLinePunct w:val="0"/>
        <w:bidi w:val="0"/>
        <w:spacing w:line="340" w:lineRule="exact"/>
        <w:ind w:left="0" w:leftChars="0" w:firstLine="420" w:firstLineChars="200"/>
        <w:rPr>
          <w:rFonts w:hint="eastAsia"/>
        </w:rPr>
      </w:pPr>
      <w:r>
        <w:rPr>
          <w:rFonts w:hint="eastAsia"/>
        </w:rPr>
        <w:t>采购人污水处理站一期最大处理规模为：Qmax=2000m³/d ，二期最大处理规模为：Qmax=1000m³/d ，污水处理厂按24h/d运行计，主要处理监管区内生活污水、少量经预处理的医疗污水、民警职工办公区及生活区生活污水。目前污水处理设施有污水检测系统、化粪池、调节池、缺氧池、接触氧化、沉淀池、硝化池、消毒池、加药系统、污泥压滤机等设施组成。</w:t>
      </w:r>
    </w:p>
    <w:p>
      <w:pPr>
        <w:pageBreakBefore w:val="0"/>
        <w:kinsoku/>
        <w:wordWrap/>
        <w:overflowPunct/>
        <w:topLinePunct w:val="0"/>
        <w:bidi w:val="0"/>
        <w:spacing w:line="340" w:lineRule="exact"/>
        <w:ind w:left="0" w:leftChars="0" w:firstLine="420" w:firstLineChars="200"/>
        <w:rPr>
          <w:rFonts w:hint="eastAsia"/>
        </w:rPr>
      </w:pPr>
      <w:r>
        <w:rPr>
          <w:rFonts w:hint="eastAsia"/>
        </w:rPr>
        <w:t>二、预算金额：人民币2</w:t>
      </w:r>
      <w:r>
        <w:rPr>
          <w:rFonts w:hint="eastAsia"/>
          <w:lang w:val="en-US" w:eastAsia="zh-CN"/>
        </w:rPr>
        <w:t>20495</w:t>
      </w:r>
      <w:r>
        <w:rPr>
          <w:rFonts w:hint="eastAsia"/>
        </w:rPr>
        <w:t>元</w:t>
      </w:r>
    </w:p>
    <w:p>
      <w:pPr>
        <w:pageBreakBefore w:val="0"/>
        <w:kinsoku/>
        <w:wordWrap/>
        <w:overflowPunct/>
        <w:topLinePunct w:val="0"/>
        <w:bidi w:val="0"/>
        <w:spacing w:line="340" w:lineRule="exact"/>
        <w:ind w:left="0" w:leftChars="0" w:firstLine="420" w:firstLineChars="200"/>
        <w:rPr>
          <w:rFonts w:hint="eastAsia"/>
        </w:rPr>
      </w:pPr>
      <w:r>
        <w:rPr>
          <w:rFonts w:hint="eastAsia"/>
        </w:rPr>
        <w:t>三、项目清单及技术参数：</w:t>
      </w:r>
    </w:p>
    <w:p>
      <w:pPr>
        <w:pageBreakBefore w:val="0"/>
        <w:kinsoku/>
        <w:wordWrap/>
        <w:overflowPunct/>
        <w:topLinePunct w:val="0"/>
        <w:bidi w:val="0"/>
        <w:spacing w:line="340" w:lineRule="exact"/>
        <w:ind w:left="0" w:leftChars="0" w:firstLine="420" w:firstLineChars="200"/>
        <w:rPr>
          <w:rFonts w:hint="eastAsia"/>
        </w:rPr>
      </w:pPr>
      <w:r>
        <w:rPr>
          <w:rFonts w:hint="eastAsia"/>
        </w:rPr>
        <w:t>（一）运营时间：202</w:t>
      </w:r>
      <w:r>
        <w:rPr>
          <w:rFonts w:hint="eastAsia"/>
          <w:lang w:val="en-US" w:eastAsia="zh-CN"/>
        </w:rPr>
        <w:t>5</w:t>
      </w:r>
      <w:r>
        <w:rPr>
          <w:rFonts w:hint="eastAsia"/>
        </w:rPr>
        <w:t>年2月28日至202</w:t>
      </w:r>
      <w:r>
        <w:rPr>
          <w:rFonts w:hint="eastAsia"/>
          <w:lang w:val="en-US" w:eastAsia="zh-CN"/>
        </w:rPr>
        <w:t>6</w:t>
      </w:r>
      <w:r>
        <w:rPr>
          <w:rFonts w:hint="eastAsia"/>
        </w:rPr>
        <w:t>年2月27日。</w:t>
      </w:r>
    </w:p>
    <w:p>
      <w:pPr>
        <w:pageBreakBefore w:val="0"/>
        <w:kinsoku/>
        <w:wordWrap/>
        <w:overflowPunct/>
        <w:topLinePunct w:val="0"/>
        <w:bidi w:val="0"/>
        <w:spacing w:line="340" w:lineRule="exact"/>
        <w:ind w:left="0" w:leftChars="0" w:firstLine="420" w:firstLineChars="200"/>
        <w:rPr>
          <w:rFonts w:hint="eastAsia"/>
        </w:rPr>
      </w:pPr>
      <w:r>
        <w:rPr>
          <w:rFonts w:hint="eastAsia"/>
        </w:rPr>
        <w:t>（二）对污水处理厂各个泵房、水池、排污通道进行全天候日常工艺运营维护，保证污水不溢流、不偷排，水质排放需达到需达到广东省地方标准《水污染物排放限值》（DB44/26-2001第二时段一级标准或河源市环保部门要求排放标准，具体如下表。</w:t>
      </w:r>
    </w:p>
    <w:tbl>
      <w:tblPr>
        <w:tblStyle w:val="16"/>
        <w:tblW w:w="8835"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2268"/>
        <w:gridCol w:w="948"/>
        <w:gridCol w:w="936"/>
        <w:gridCol w:w="984"/>
        <w:gridCol w:w="984"/>
        <w:gridCol w:w="912"/>
        <w:gridCol w:w="1190"/>
        <w:gridCol w:w="61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trHeight w:val="583" w:hRule="atLeast"/>
        </w:trPr>
        <w:tc>
          <w:tcPr>
            <w:tcW w:w="2268" w:type="dxa"/>
            <w:tcBorders>
              <w:bottom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污染物</w:t>
            </w:r>
          </w:p>
        </w:tc>
        <w:tc>
          <w:tcPr>
            <w:tcW w:w="948" w:type="dxa"/>
            <w:tcBorders>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CODcr</w:t>
            </w:r>
          </w:p>
        </w:tc>
        <w:tc>
          <w:tcPr>
            <w:tcW w:w="936" w:type="dxa"/>
            <w:tcBorders>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BOD5</w:t>
            </w:r>
          </w:p>
        </w:tc>
        <w:tc>
          <w:tcPr>
            <w:tcW w:w="984" w:type="dxa"/>
            <w:tcBorders>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pH</w:t>
            </w:r>
          </w:p>
        </w:tc>
        <w:tc>
          <w:tcPr>
            <w:tcW w:w="984" w:type="dxa"/>
            <w:tcBorders>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SS</w:t>
            </w:r>
          </w:p>
        </w:tc>
        <w:tc>
          <w:tcPr>
            <w:tcW w:w="912" w:type="dxa"/>
            <w:tcBorders>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氨氮</w:t>
            </w:r>
          </w:p>
        </w:tc>
        <w:tc>
          <w:tcPr>
            <w:tcW w:w="1190" w:type="dxa"/>
            <w:tcBorders>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阴离子表面活性剂</w:t>
            </w:r>
          </w:p>
        </w:tc>
        <w:tc>
          <w:tcPr>
            <w:tcW w:w="613" w:type="dxa"/>
            <w:tcBorders>
              <w:left w:val="single" w:color="000000" w:sz="6" w:space="0"/>
              <w:bottom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TP</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49" w:hRule="atLeast"/>
        </w:trPr>
        <w:tc>
          <w:tcPr>
            <w:tcW w:w="2268" w:type="dxa"/>
            <w:tcBorders>
              <w:top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vertAlign w:val="baseline"/>
                <w:lang w:val="en-US" w:eastAsia="zh-CN"/>
              </w:rPr>
              <w:t>《广东省水污染物排放限值》（DB44/26-2001）第二时段一级标准</w:t>
            </w:r>
          </w:p>
        </w:tc>
        <w:tc>
          <w:tcPr>
            <w:tcW w:w="948"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仿宋"/>
                <w:szCs w:val="21"/>
                <w:lang w:val="en-US" w:eastAsia="zh-CN"/>
              </w:rPr>
            </w:pPr>
            <w:r>
              <w:rPr>
                <w:rFonts w:hint="eastAsia" w:ascii="宋体" w:hAnsi="宋体" w:cs="仿宋"/>
                <w:szCs w:val="21"/>
              </w:rPr>
              <w:t>≤</w:t>
            </w:r>
            <w:r>
              <w:rPr>
                <w:rFonts w:hint="eastAsia" w:ascii="宋体" w:hAnsi="宋体" w:cs="仿宋"/>
                <w:szCs w:val="21"/>
                <w:lang w:val="en-US" w:eastAsia="zh-CN"/>
              </w:rPr>
              <w:t>40</w:t>
            </w:r>
          </w:p>
        </w:tc>
        <w:tc>
          <w:tcPr>
            <w:tcW w:w="93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仿宋"/>
                <w:szCs w:val="21"/>
                <w:lang w:val="en-US" w:eastAsia="zh-CN"/>
              </w:rPr>
            </w:pPr>
            <w:r>
              <w:rPr>
                <w:rFonts w:hint="eastAsia" w:ascii="宋体" w:hAnsi="宋体" w:cs="仿宋"/>
                <w:szCs w:val="21"/>
              </w:rPr>
              <w:t>≤</w:t>
            </w:r>
            <w:r>
              <w:rPr>
                <w:rFonts w:hint="eastAsia" w:ascii="宋体" w:hAnsi="宋体" w:cs="仿宋"/>
                <w:szCs w:val="21"/>
                <w:lang w:val="en-US" w:eastAsia="zh-CN"/>
              </w:rPr>
              <w:t>20</w:t>
            </w:r>
          </w:p>
        </w:tc>
        <w:tc>
          <w:tcPr>
            <w:tcW w:w="984"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6-9</w:t>
            </w:r>
          </w:p>
        </w:tc>
        <w:tc>
          <w:tcPr>
            <w:tcW w:w="984"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仿宋"/>
                <w:szCs w:val="21"/>
                <w:lang w:val="en-US" w:eastAsia="zh-CN"/>
              </w:rPr>
            </w:pPr>
            <w:r>
              <w:rPr>
                <w:rFonts w:hint="eastAsia" w:ascii="宋体" w:hAnsi="宋体" w:cs="仿宋"/>
                <w:szCs w:val="21"/>
              </w:rPr>
              <w:t>≤</w:t>
            </w:r>
            <w:r>
              <w:rPr>
                <w:rFonts w:hint="eastAsia" w:ascii="宋体" w:hAnsi="宋体" w:cs="仿宋"/>
                <w:szCs w:val="21"/>
                <w:lang w:val="en-US" w:eastAsia="zh-CN"/>
              </w:rPr>
              <w:t>20</w:t>
            </w:r>
          </w:p>
        </w:tc>
        <w:tc>
          <w:tcPr>
            <w:tcW w:w="912"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仿宋"/>
                <w:szCs w:val="21"/>
                <w:lang w:val="en-US" w:eastAsia="zh-CN"/>
              </w:rPr>
            </w:pPr>
            <w:r>
              <w:rPr>
                <w:rFonts w:hint="eastAsia" w:ascii="宋体" w:hAnsi="宋体" w:cs="仿宋"/>
                <w:szCs w:val="21"/>
              </w:rPr>
              <w:t>≤</w:t>
            </w:r>
            <w:r>
              <w:rPr>
                <w:rFonts w:hint="eastAsia" w:ascii="宋体" w:hAnsi="宋体" w:cs="仿宋"/>
                <w:szCs w:val="21"/>
                <w:lang w:val="en-US" w:eastAsia="zh-CN"/>
              </w:rPr>
              <w:t>10</w:t>
            </w:r>
          </w:p>
        </w:tc>
        <w:tc>
          <w:tcPr>
            <w:tcW w:w="1190"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仿宋"/>
                <w:szCs w:val="21"/>
                <w:lang w:eastAsia="zh-CN"/>
              </w:rPr>
            </w:pPr>
            <w:r>
              <w:rPr>
                <w:rFonts w:hint="eastAsia" w:ascii="宋体" w:hAnsi="宋体" w:cs="仿宋"/>
                <w:szCs w:val="21"/>
              </w:rPr>
              <w:t>≤</w:t>
            </w:r>
            <w:r>
              <w:rPr>
                <w:rFonts w:hint="eastAsia" w:ascii="宋体" w:hAnsi="宋体" w:cs="仿宋"/>
                <w:szCs w:val="21"/>
                <w:lang w:val="en-US" w:eastAsia="zh-CN"/>
              </w:rPr>
              <w:t>5</w:t>
            </w:r>
          </w:p>
        </w:tc>
        <w:tc>
          <w:tcPr>
            <w:tcW w:w="613" w:type="dxa"/>
            <w:tcBorders>
              <w:top w:val="single" w:color="000000" w:sz="6" w:space="0"/>
              <w:left w:val="single" w:color="000000" w:sz="6" w:space="0"/>
              <w:bottom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仿宋"/>
                <w:szCs w:val="21"/>
                <w:lang w:eastAsia="zh-CN"/>
              </w:rPr>
            </w:pPr>
            <w:r>
              <w:rPr>
                <w:rFonts w:hint="eastAsia" w:ascii="宋体" w:hAnsi="宋体" w:cs="仿宋"/>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47" w:hRule="atLeast"/>
        </w:trPr>
        <w:tc>
          <w:tcPr>
            <w:tcW w:w="2268" w:type="dxa"/>
            <w:tcBorders>
              <w:top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本项目执行排放指标</w:t>
            </w:r>
          </w:p>
        </w:tc>
        <w:tc>
          <w:tcPr>
            <w:tcW w:w="948" w:type="dxa"/>
            <w:tcBorders>
              <w:top w:val="single" w:color="000000" w:sz="6" w:space="0"/>
              <w:left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仿宋"/>
                <w:szCs w:val="21"/>
                <w:lang w:val="en-US" w:eastAsia="zh-CN"/>
              </w:rPr>
            </w:pPr>
            <w:r>
              <w:rPr>
                <w:rFonts w:hint="eastAsia" w:ascii="宋体" w:hAnsi="宋体" w:cs="仿宋"/>
                <w:szCs w:val="21"/>
              </w:rPr>
              <w:t>≤</w:t>
            </w:r>
            <w:r>
              <w:rPr>
                <w:rFonts w:hint="eastAsia" w:ascii="宋体" w:hAnsi="宋体" w:cs="仿宋"/>
                <w:szCs w:val="21"/>
                <w:lang w:val="en-US" w:eastAsia="zh-CN"/>
              </w:rPr>
              <w:t>40</w:t>
            </w:r>
          </w:p>
        </w:tc>
        <w:tc>
          <w:tcPr>
            <w:tcW w:w="936" w:type="dxa"/>
            <w:tcBorders>
              <w:top w:val="single" w:color="000000" w:sz="6" w:space="0"/>
              <w:left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w:t>
            </w:r>
            <w:r>
              <w:rPr>
                <w:rFonts w:hint="eastAsia" w:ascii="宋体" w:hAnsi="宋体" w:cs="仿宋"/>
                <w:szCs w:val="21"/>
                <w:lang w:val="en-US" w:eastAsia="zh-CN"/>
              </w:rPr>
              <w:t>2</w:t>
            </w:r>
            <w:r>
              <w:rPr>
                <w:rFonts w:hint="eastAsia" w:ascii="宋体" w:hAnsi="宋体" w:cs="仿宋"/>
                <w:szCs w:val="21"/>
              </w:rPr>
              <w:t>0</w:t>
            </w:r>
          </w:p>
        </w:tc>
        <w:tc>
          <w:tcPr>
            <w:tcW w:w="984" w:type="dxa"/>
            <w:tcBorders>
              <w:top w:val="single" w:color="000000" w:sz="6" w:space="0"/>
              <w:left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6-9</w:t>
            </w:r>
          </w:p>
        </w:tc>
        <w:tc>
          <w:tcPr>
            <w:tcW w:w="984" w:type="dxa"/>
            <w:tcBorders>
              <w:top w:val="single" w:color="000000" w:sz="6" w:space="0"/>
              <w:left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w:t>
            </w:r>
            <w:r>
              <w:rPr>
                <w:rFonts w:hint="eastAsia" w:ascii="宋体" w:hAnsi="宋体" w:cs="仿宋"/>
                <w:szCs w:val="21"/>
                <w:lang w:val="en-US" w:eastAsia="zh-CN"/>
              </w:rPr>
              <w:t>2</w:t>
            </w:r>
            <w:r>
              <w:rPr>
                <w:rFonts w:hint="eastAsia" w:ascii="宋体" w:hAnsi="宋体" w:cs="仿宋"/>
                <w:szCs w:val="21"/>
              </w:rPr>
              <w:t>0</w:t>
            </w:r>
          </w:p>
        </w:tc>
        <w:tc>
          <w:tcPr>
            <w:tcW w:w="912" w:type="dxa"/>
            <w:tcBorders>
              <w:top w:val="single" w:color="000000" w:sz="6" w:space="0"/>
              <w:left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仿宋"/>
                <w:szCs w:val="21"/>
                <w:lang w:val="en-US" w:eastAsia="zh-CN"/>
              </w:rPr>
            </w:pPr>
            <w:r>
              <w:rPr>
                <w:rFonts w:hint="eastAsia" w:ascii="宋体" w:hAnsi="宋体" w:cs="仿宋"/>
                <w:szCs w:val="21"/>
              </w:rPr>
              <w:t>≤</w:t>
            </w:r>
            <w:r>
              <w:rPr>
                <w:rFonts w:hint="eastAsia" w:ascii="宋体" w:hAnsi="宋体" w:cs="仿宋"/>
                <w:szCs w:val="21"/>
                <w:lang w:val="en-US" w:eastAsia="zh-CN"/>
              </w:rPr>
              <w:t>10</w:t>
            </w:r>
          </w:p>
        </w:tc>
        <w:tc>
          <w:tcPr>
            <w:tcW w:w="1190" w:type="dxa"/>
            <w:tcBorders>
              <w:top w:val="single" w:color="000000" w:sz="6" w:space="0"/>
              <w:left w:val="single" w:color="000000" w:sz="6" w:space="0"/>
              <w:righ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仿宋"/>
                <w:szCs w:val="21"/>
                <w:lang w:eastAsia="zh-CN"/>
              </w:rPr>
            </w:pPr>
            <w:r>
              <w:rPr>
                <w:rFonts w:hint="eastAsia" w:ascii="宋体" w:hAnsi="宋体" w:cs="仿宋"/>
                <w:szCs w:val="21"/>
              </w:rPr>
              <w:t>≤</w:t>
            </w:r>
            <w:r>
              <w:rPr>
                <w:rFonts w:hint="eastAsia" w:ascii="宋体" w:hAnsi="宋体" w:cs="仿宋"/>
                <w:szCs w:val="21"/>
                <w:lang w:val="en-US" w:eastAsia="zh-CN"/>
              </w:rPr>
              <w:t>5</w:t>
            </w:r>
          </w:p>
        </w:tc>
        <w:tc>
          <w:tcPr>
            <w:tcW w:w="613" w:type="dxa"/>
            <w:tcBorders>
              <w:top w:val="single" w:color="000000" w:sz="6" w:space="0"/>
              <w:left w:val="single" w:color="000000"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仿宋"/>
                <w:szCs w:val="21"/>
              </w:rPr>
            </w:pPr>
            <w:r>
              <w:rPr>
                <w:rFonts w:hint="eastAsia" w:ascii="宋体" w:hAnsi="宋体" w:cs="仿宋"/>
                <w:szCs w:val="21"/>
              </w:rPr>
              <w:t>≤3</w:t>
            </w:r>
          </w:p>
        </w:tc>
      </w:tr>
    </w:tbl>
    <w:p>
      <w:pPr>
        <w:rPr>
          <w:rFonts w:hint="eastAsia"/>
        </w:rPr>
      </w:pPr>
    </w:p>
    <w:p>
      <w:pPr>
        <w:pageBreakBefore w:val="0"/>
        <w:kinsoku/>
        <w:wordWrap/>
        <w:overflowPunct/>
        <w:topLinePunct w:val="0"/>
        <w:bidi w:val="0"/>
        <w:spacing w:line="340" w:lineRule="exact"/>
        <w:ind w:left="0" w:leftChars="0" w:firstLine="420" w:firstLineChars="200"/>
        <w:rPr>
          <w:rFonts w:hint="eastAsia"/>
        </w:rPr>
      </w:pPr>
      <w:r>
        <w:rPr>
          <w:rFonts w:hint="eastAsia"/>
        </w:rPr>
        <w:t>本项目污水排放参照以上表限值指标或符合河源当地环保部门污水处理厂环评监测要求执行，按从严标准执行原则，河源当地环保部门环评监测标准低于上表限值的，按上表限值指标执行，河源当地环保部门环评监测标准高于上表限值指标的，按环保部门环评监测标准值执行。</w:t>
      </w:r>
    </w:p>
    <w:p>
      <w:pPr>
        <w:pageBreakBefore w:val="0"/>
        <w:kinsoku/>
        <w:wordWrap/>
        <w:overflowPunct/>
        <w:topLinePunct w:val="0"/>
        <w:bidi w:val="0"/>
        <w:spacing w:line="340" w:lineRule="exact"/>
        <w:ind w:left="0" w:leftChars="0" w:firstLine="420" w:firstLineChars="200"/>
        <w:rPr>
          <w:rFonts w:hint="eastAsia"/>
        </w:rPr>
      </w:pPr>
      <w:r>
        <w:rPr>
          <w:rFonts w:hint="eastAsia"/>
        </w:rPr>
        <w:t>四、服务标准</w:t>
      </w:r>
    </w:p>
    <w:p>
      <w:pPr>
        <w:pageBreakBefore w:val="0"/>
        <w:kinsoku/>
        <w:wordWrap/>
        <w:overflowPunct/>
        <w:topLinePunct w:val="0"/>
        <w:bidi w:val="0"/>
        <w:spacing w:line="340" w:lineRule="exact"/>
        <w:ind w:left="0" w:leftChars="0" w:firstLine="420" w:firstLineChars="200"/>
        <w:rPr>
          <w:rFonts w:hint="eastAsia"/>
        </w:rPr>
      </w:pPr>
      <w:r>
        <w:rPr>
          <w:rFonts w:hint="eastAsia"/>
        </w:rPr>
        <w:t>（一）废水处理系统采用24小时连续运行，需每日（8：00-12：00；14：00-18：00）委派专业操作人员到污水处理厂进行驻点运维操作，如遇极端天气或采购人其他临时安排工作，应及时到位处理。</w:t>
      </w:r>
    </w:p>
    <w:p>
      <w:pPr>
        <w:pageBreakBefore w:val="0"/>
        <w:kinsoku/>
        <w:wordWrap/>
        <w:overflowPunct/>
        <w:topLinePunct w:val="0"/>
        <w:bidi w:val="0"/>
        <w:spacing w:line="340" w:lineRule="exact"/>
        <w:ind w:left="0" w:leftChars="0" w:firstLine="420" w:firstLineChars="200"/>
        <w:rPr>
          <w:rFonts w:hint="eastAsia"/>
        </w:rPr>
      </w:pPr>
      <w:r>
        <w:rPr>
          <w:rFonts w:hint="eastAsia"/>
        </w:rPr>
        <w:t>（二）对工艺作出及时有效的调整，满足出水达标的要求。负责污水处理站日常运行、操作、实验、化验及设备的运行管理、维护，协助办理有关环保管理手续，向环保部门报送有关运行记录资料，接受环保管理部门的日常工作检查，供应商需提供合法发票、派驻人员社保缴费清单和检测报告。</w:t>
      </w:r>
    </w:p>
    <w:p>
      <w:pPr>
        <w:pageBreakBefore w:val="0"/>
        <w:kinsoku/>
        <w:wordWrap/>
        <w:overflowPunct/>
        <w:topLinePunct w:val="0"/>
        <w:bidi w:val="0"/>
        <w:spacing w:line="340" w:lineRule="exact"/>
        <w:ind w:left="0" w:leftChars="0" w:firstLine="420" w:firstLineChars="200"/>
        <w:rPr>
          <w:rFonts w:hint="eastAsia"/>
        </w:rPr>
      </w:pPr>
      <w:r>
        <w:rPr>
          <w:rFonts w:hint="eastAsia"/>
        </w:rPr>
        <w:t>（三）每天需对废水处理系统，建立台帐，造册按日登记。污水处理站的运行日志、监测记录、维修记录、固体废弃物处理台账、污水排放记录等必须由供应商详实记录并妥善保存。</w:t>
      </w:r>
    </w:p>
    <w:p>
      <w:pPr>
        <w:pageBreakBefore w:val="0"/>
        <w:kinsoku/>
        <w:wordWrap/>
        <w:overflowPunct/>
        <w:topLinePunct w:val="0"/>
        <w:bidi w:val="0"/>
        <w:spacing w:line="340" w:lineRule="exact"/>
        <w:ind w:left="0" w:leftChars="0" w:firstLine="420" w:firstLineChars="200"/>
        <w:rPr>
          <w:rFonts w:hint="eastAsia"/>
        </w:rPr>
      </w:pPr>
      <w:r>
        <w:rPr>
          <w:rFonts w:hint="eastAsia"/>
        </w:rPr>
        <w:t>（四）供应商须具有履行本项目所需的相关专业人员，并于合同签订前将人员证明材料提交采购人备案。</w:t>
      </w:r>
    </w:p>
    <w:p>
      <w:pPr>
        <w:pageBreakBefore w:val="0"/>
        <w:kinsoku/>
        <w:wordWrap/>
        <w:overflowPunct/>
        <w:topLinePunct w:val="0"/>
        <w:bidi w:val="0"/>
        <w:spacing w:line="340" w:lineRule="exact"/>
        <w:ind w:left="0" w:leftChars="0" w:firstLine="420" w:firstLineChars="200"/>
        <w:rPr>
          <w:rFonts w:hint="eastAsia"/>
        </w:rPr>
      </w:pPr>
      <w:r>
        <w:rPr>
          <w:rFonts w:hint="eastAsia"/>
        </w:rPr>
        <w:t>（五）及时清理格栅设备杂物，清洗并对污水处理厂的污泥、垃圾进行现场处理。</w:t>
      </w:r>
    </w:p>
    <w:p>
      <w:pPr>
        <w:pageBreakBefore w:val="0"/>
        <w:kinsoku/>
        <w:wordWrap/>
        <w:overflowPunct/>
        <w:topLinePunct w:val="0"/>
        <w:bidi w:val="0"/>
        <w:spacing w:line="340" w:lineRule="exact"/>
        <w:ind w:left="0" w:leftChars="0" w:firstLine="420" w:firstLineChars="200"/>
        <w:rPr>
          <w:rFonts w:hint="eastAsia"/>
        </w:rPr>
      </w:pPr>
      <w:r>
        <w:rPr>
          <w:rFonts w:hint="eastAsia"/>
        </w:rPr>
        <w:t>（六）结合设备实际运行状况对污水处理厂、泵房等设备进行日常维护，每天常规运维时间外，若机器出现故障，应及时查明故障、告知甲方和恢复运行,采购人负责较大型配件及设备的更换或维修费用大于200元/次</w:t>
      </w:r>
      <w:r>
        <w:rPr>
          <w:rFonts w:hint="eastAsia"/>
          <w:lang w:eastAsia="zh-CN"/>
        </w:rPr>
        <w:t>（</w:t>
      </w:r>
      <w:r>
        <w:rPr>
          <w:rFonts w:hint="eastAsia"/>
        </w:rPr>
        <w:t>件</w:t>
      </w:r>
      <w:r>
        <w:rPr>
          <w:rFonts w:hint="eastAsia"/>
          <w:lang w:eastAsia="zh-CN"/>
        </w:rPr>
        <w:t>）</w:t>
      </w:r>
      <w:r>
        <w:rPr>
          <w:rFonts w:hint="eastAsia"/>
        </w:rPr>
        <w:t>。</w:t>
      </w:r>
    </w:p>
    <w:p>
      <w:pPr>
        <w:pageBreakBefore w:val="0"/>
        <w:kinsoku/>
        <w:wordWrap/>
        <w:overflowPunct/>
        <w:topLinePunct w:val="0"/>
        <w:bidi w:val="0"/>
        <w:spacing w:line="340" w:lineRule="exact"/>
        <w:ind w:left="0" w:leftChars="0" w:firstLine="420" w:firstLineChars="200"/>
        <w:rPr>
          <w:rFonts w:hint="eastAsia"/>
        </w:rPr>
      </w:pPr>
      <w:r>
        <w:rPr>
          <w:rFonts w:hint="eastAsia"/>
        </w:rPr>
        <w:t>（七）在运维过程当中的技术处理、人员派遣、设备维护保养方面需达到本项目的要求，在运行期间保证排放水质无超标、无异常，不得污染周边环境，达到规定排放要求。</w:t>
      </w:r>
    </w:p>
    <w:p>
      <w:pPr>
        <w:pageBreakBefore w:val="0"/>
        <w:kinsoku/>
        <w:wordWrap/>
        <w:overflowPunct/>
        <w:topLinePunct w:val="0"/>
        <w:bidi w:val="0"/>
        <w:spacing w:line="340" w:lineRule="exact"/>
        <w:ind w:left="0" w:leftChars="0" w:firstLine="420" w:firstLineChars="200"/>
        <w:rPr>
          <w:rFonts w:hint="eastAsia"/>
        </w:rPr>
      </w:pPr>
      <w:r>
        <w:rPr>
          <w:rFonts w:hint="eastAsia"/>
        </w:rPr>
        <w:t>（八）供应商负责对运营管理人员的安全教育，严格按照国家相关安全操作规程实施，做好安全防范措施，做到安全文明操作。</w:t>
      </w:r>
    </w:p>
    <w:p>
      <w:pPr>
        <w:pageBreakBefore w:val="0"/>
        <w:kinsoku/>
        <w:wordWrap/>
        <w:overflowPunct/>
        <w:topLinePunct w:val="0"/>
        <w:bidi w:val="0"/>
        <w:spacing w:line="340" w:lineRule="exact"/>
        <w:ind w:left="0" w:leftChars="0" w:firstLine="420" w:firstLineChars="200"/>
        <w:rPr>
          <w:rFonts w:hint="eastAsia"/>
        </w:rPr>
      </w:pPr>
      <w:r>
        <w:rPr>
          <w:rFonts w:hint="eastAsia"/>
        </w:rPr>
        <w:t>（九）供应商每月不少于一次（需求方可根据实际情况不定时提出检测要求）将水质提交第三方具有检测资质的公司进行检测并承担相应费用</w:t>
      </w:r>
      <w:r>
        <w:rPr>
          <w:rFonts w:hint="eastAsia"/>
          <w:lang w:eastAsia="zh-CN"/>
        </w:rPr>
        <w:t>，</w:t>
      </w:r>
      <w:r>
        <w:rPr>
          <w:rFonts w:hint="eastAsia"/>
        </w:rPr>
        <w:t>检测结果由采购人留档备案。</w:t>
      </w:r>
      <w:r>
        <w:rPr>
          <w:rFonts w:hint="eastAsia"/>
          <w:lang w:val="en-US" w:eastAsia="zh-CN"/>
        </w:rPr>
        <w:t xml:space="preserve">  </w:t>
      </w:r>
      <w:r>
        <w:rPr>
          <w:rFonts w:hint="eastAsia"/>
        </w:rPr>
        <w:t>第三方检测包含且不限于如下内容：</w:t>
      </w:r>
    </w:p>
    <w:tbl>
      <w:tblPr>
        <w:tblStyle w:val="16"/>
        <w:tblpPr w:leftFromText="180" w:rightFromText="180" w:vertAnchor="text" w:horzAnchor="page" w:tblpX="1698" w:tblpY="143"/>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58"/>
        <w:gridCol w:w="1641"/>
        <w:gridCol w:w="272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71" w:type="dxa"/>
            <w:vAlign w:val="center"/>
          </w:tcPr>
          <w:p>
            <w:pPr>
              <w:pStyle w:val="2"/>
              <w:keepNext w:val="0"/>
              <w:keepLines w:val="0"/>
              <w:suppressLineNumbers w:val="0"/>
              <w:spacing w:before="0" w:beforeAutospacing="0" w:after="0" w:afterAutospacing="0"/>
              <w:ind w:left="0" w:right="0" w:firstLine="210" w:firstLineChars="100"/>
              <w:jc w:val="center"/>
              <w:rPr>
                <w:rFonts w:hint="default" w:ascii="宋体" w:hAnsi="宋体" w:cs="仿宋"/>
                <w:szCs w:val="21"/>
              </w:rPr>
            </w:pPr>
            <w:r>
              <w:rPr>
                <w:rFonts w:hint="eastAsia" w:ascii="宋体" w:hAnsi="宋体" w:cs="仿宋"/>
                <w:szCs w:val="21"/>
              </w:rPr>
              <w:t>检测类别</w:t>
            </w:r>
          </w:p>
        </w:tc>
        <w:tc>
          <w:tcPr>
            <w:tcW w:w="1158" w:type="dxa"/>
            <w:vAlign w:val="center"/>
          </w:tcPr>
          <w:p>
            <w:pPr>
              <w:pStyle w:val="2"/>
              <w:keepNext w:val="0"/>
              <w:keepLines w:val="0"/>
              <w:suppressLineNumbers w:val="0"/>
              <w:spacing w:before="0" w:beforeAutospacing="0" w:after="0" w:afterAutospacing="0"/>
              <w:ind w:left="0" w:right="0" w:firstLine="0"/>
              <w:jc w:val="center"/>
              <w:rPr>
                <w:rFonts w:hint="default" w:ascii="宋体" w:hAnsi="宋体" w:cs="仿宋"/>
                <w:szCs w:val="21"/>
              </w:rPr>
            </w:pPr>
            <w:r>
              <w:rPr>
                <w:rFonts w:hint="eastAsia" w:ascii="宋体" w:hAnsi="宋体" w:cs="仿宋"/>
                <w:szCs w:val="21"/>
              </w:rPr>
              <w:t>采样点位</w:t>
            </w:r>
          </w:p>
        </w:tc>
        <w:tc>
          <w:tcPr>
            <w:tcW w:w="1641" w:type="dxa"/>
            <w:vAlign w:val="center"/>
          </w:tcPr>
          <w:p>
            <w:pPr>
              <w:pStyle w:val="2"/>
              <w:keepNext w:val="0"/>
              <w:keepLines w:val="0"/>
              <w:suppressLineNumbers w:val="0"/>
              <w:spacing w:before="0" w:beforeAutospacing="0" w:after="0" w:afterAutospacing="0"/>
              <w:ind w:left="0" w:right="0" w:firstLine="210" w:firstLineChars="100"/>
              <w:jc w:val="center"/>
              <w:rPr>
                <w:rFonts w:hint="default" w:ascii="宋体" w:hAnsi="宋体" w:cs="仿宋"/>
                <w:szCs w:val="21"/>
              </w:rPr>
            </w:pPr>
            <w:r>
              <w:rPr>
                <w:rFonts w:hint="eastAsia" w:ascii="宋体" w:hAnsi="宋体" w:cs="仿宋"/>
                <w:szCs w:val="21"/>
              </w:rPr>
              <w:t>采样时间</w:t>
            </w:r>
          </w:p>
        </w:tc>
        <w:tc>
          <w:tcPr>
            <w:tcW w:w="2729" w:type="dxa"/>
            <w:vAlign w:val="center"/>
          </w:tcPr>
          <w:p>
            <w:pPr>
              <w:pStyle w:val="2"/>
              <w:keepNext w:val="0"/>
              <w:keepLines w:val="0"/>
              <w:suppressLineNumbers w:val="0"/>
              <w:spacing w:before="0" w:beforeAutospacing="0" w:after="0" w:afterAutospacing="0"/>
              <w:ind w:left="0" w:right="0" w:firstLine="0"/>
              <w:jc w:val="center"/>
              <w:rPr>
                <w:rFonts w:hint="default" w:ascii="宋体" w:hAnsi="宋体" w:cs="仿宋"/>
                <w:szCs w:val="21"/>
              </w:rPr>
            </w:pPr>
            <w:r>
              <w:rPr>
                <w:rFonts w:hint="eastAsia" w:ascii="宋体" w:hAnsi="宋体" w:cs="仿宋"/>
                <w:szCs w:val="21"/>
              </w:rPr>
              <w:t>检测项目（包含且不限于）</w:t>
            </w:r>
          </w:p>
        </w:tc>
        <w:tc>
          <w:tcPr>
            <w:tcW w:w="2268" w:type="dxa"/>
            <w:vAlign w:val="center"/>
          </w:tcPr>
          <w:p>
            <w:pPr>
              <w:pStyle w:val="2"/>
              <w:keepNext w:val="0"/>
              <w:keepLines w:val="0"/>
              <w:suppressLineNumbers w:val="0"/>
              <w:spacing w:before="0" w:beforeAutospacing="0" w:after="0" w:afterAutospacing="0"/>
              <w:ind w:left="0" w:right="0"/>
              <w:jc w:val="center"/>
              <w:rPr>
                <w:rFonts w:hint="default" w:ascii="宋体" w:hAnsi="宋体" w:cs="仿宋"/>
                <w:szCs w:val="21"/>
              </w:rPr>
            </w:pPr>
            <w:r>
              <w:rPr>
                <w:rFonts w:hint="eastAsia" w:ascii="宋体" w:hAnsi="宋体" w:cs="仿宋"/>
                <w:szCs w:val="21"/>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Align w:val="center"/>
          </w:tcPr>
          <w:p>
            <w:pPr>
              <w:pStyle w:val="2"/>
              <w:keepNext w:val="0"/>
              <w:keepLines w:val="0"/>
              <w:suppressLineNumbers w:val="0"/>
              <w:spacing w:before="0" w:beforeAutospacing="0" w:after="0" w:afterAutospacing="0"/>
              <w:ind w:left="0" w:right="0" w:firstLine="0"/>
              <w:jc w:val="center"/>
              <w:rPr>
                <w:rFonts w:hint="default" w:ascii="宋体" w:hAnsi="宋体" w:cs="仿宋"/>
                <w:szCs w:val="21"/>
              </w:rPr>
            </w:pPr>
            <w:r>
              <w:rPr>
                <w:rFonts w:hint="eastAsia" w:ascii="宋体" w:hAnsi="宋体" w:cs="仿宋"/>
                <w:szCs w:val="21"/>
              </w:rPr>
              <w:t>废水检测</w:t>
            </w:r>
          </w:p>
        </w:tc>
        <w:tc>
          <w:tcPr>
            <w:tcW w:w="1158" w:type="dxa"/>
            <w:vAlign w:val="center"/>
          </w:tcPr>
          <w:p>
            <w:pPr>
              <w:pStyle w:val="2"/>
              <w:keepNext w:val="0"/>
              <w:keepLines w:val="0"/>
              <w:suppressLineNumbers w:val="0"/>
              <w:spacing w:before="0" w:beforeAutospacing="0" w:after="0" w:afterAutospacing="0"/>
              <w:ind w:left="0" w:right="0" w:firstLine="0"/>
              <w:jc w:val="center"/>
              <w:rPr>
                <w:rFonts w:hint="default" w:ascii="宋体" w:hAnsi="宋体" w:cs="仿宋"/>
                <w:szCs w:val="21"/>
              </w:rPr>
            </w:pPr>
            <w:r>
              <w:rPr>
                <w:rFonts w:hint="eastAsia" w:ascii="宋体" w:hAnsi="宋体" w:cs="仿宋"/>
                <w:szCs w:val="21"/>
              </w:rPr>
              <w:t>废水处理后排放口</w:t>
            </w:r>
          </w:p>
        </w:tc>
        <w:tc>
          <w:tcPr>
            <w:tcW w:w="1641" w:type="dxa"/>
            <w:vAlign w:val="center"/>
          </w:tcPr>
          <w:p>
            <w:pPr>
              <w:pStyle w:val="2"/>
              <w:keepNext w:val="0"/>
              <w:keepLines w:val="0"/>
              <w:suppressLineNumbers w:val="0"/>
              <w:spacing w:before="0" w:beforeAutospacing="0" w:after="0" w:afterAutospacing="0"/>
              <w:ind w:left="0" w:right="0" w:firstLine="0"/>
              <w:jc w:val="center"/>
              <w:rPr>
                <w:rFonts w:hint="default" w:ascii="宋体" w:hAnsi="宋体" w:cs="仿宋"/>
                <w:szCs w:val="21"/>
              </w:rPr>
            </w:pPr>
            <w:r>
              <w:rPr>
                <w:rFonts w:hint="eastAsia" w:ascii="宋体" w:hAnsi="宋体" w:cs="仿宋"/>
                <w:szCs w:val="21"/>
              </w:rPr>
              <w:t>每三个月或按</w:t>
            </w:r>
            <w:r>
              <w:rPr>
                <w:rFonts w:hint="eastAsia" w:ascii="宋体" w:hAnsi="宋体" w:cs="仿宋"/>
                <w:szCs w:val="21"/>
                <w:lang w:val="en-US" w:eastAsia="zh-CN"/>
              </w:rPr>
              <w:t>需求</w:t>
            </w:r>
            <w:r>
              <w:rPr>
                <w:rFonts w:hint="eastAsia" w:ascii="宋体" w:hAnsi="宋体" w:cs="仿宋"/>
                <w:szCs w:val="21"/>
              </w:rPr>
              <w:t>方要求实施</w:t>
            </w:r>
          </w:p>
        </w:tc>
        <w:tc>
          <w:tcPr>
            <w:tcW w:w="2729" w:type="dxa"/>
            <w:vAlign w:val="center"/>
          </w:tcPr>
          <w:p>
            <w:pPr>
              <w:pStyle w:val="2"/>
              <w:keepNext w:val="0"/>
              <w:keepLines w:val="0"/>
              <w:suppressLineNumbers w:val="0"/>
              <w:spacing w:before="0" w:beforeAutospacing="0" w:after="0" w:afterAutospacing="0"/>
              <w:ind w:left="0" w:right="0" w:firstLine="0"/>
              <w:jc w:val="center"/>
              <w:rPr>
                <w:rFonts w:hint="default" w:ascii="宋体" w:hAnsi="宋体" w:cs="仿宋"/>
                <w:szCs w:val="21"/>
              </w:rPr>
            </w:pPr>
            <w:r>
              <w:rPr>
                <w:rFonts w:hint="eastAsia" w:ascii="宋体" w:hAnsi="宋体" w:cs="仿宋"/>
                <w:szCs w:val="21"/>
              </w:rPr>
              <w:t>PH值、悬浮物、化学需氧量、五日生化需氧量、动植物油、氨氮、阴离子表面活性剂、总磷、总氮</w:t>
            </w:r>
          </w:p>
        </w:tc>
        <w:tc>
          <w:tcPr>
            <w:tcW w:w="2268" w:type="dxa"/>
            <w:vAlign w:val="center"/>
          </w:tcPr>
          <w:p>
            <w:pPr>
              <w:pStyle w:val="2"/>
              <w:keepNext w:val="0"/>
              <w:keepLines w:val="0"/>
              <w:suppressLineNumbers w:val="0"/>
              <w:spacing w:before="0" w:beforeAutospacing="0" w:after="0" w:afterAutospacing="0"/>
              <w:ind w:left="0" w:right="0" w:firstLine="0"/>
              <w:jc w:val="center"/>
              <w:rPr>
                <w:rFonts w:hint="default" w:ascii="宋体" w:hAnsi="宋体" w:cs="仿宋"/>
                <w:szCs w:val="21"/>
              </w:rPr>
            </w:pPr>
            <w:r>
              <w:rPr>
                <w:rFonts w:hint="eastAsia" w:ascii="宋体" w:hAnsi="宋体" w:cs="仿宋"/>
                <w:szCs w:val="21"/>
              </w:rPr>
              <w:t>出具第三方书面检测报告</w:t>
            </w:r>
          </w:p>
        </w:tc>
      </w:tr>
    </w:tbl>
    <w:p>
      <w:pPr>
        <w:rPr>
          <w:rFonts w:hint="eastAsia"/>
        </w:rPr>
      </w:pPr>
    </w:p>
    <w:p>
      <w:pPr>
        <w:pageBreakBefore w:val="0"/>
        <w:kinsoku/>
        <w:wordWrap/>
        <w:overflowPunct/>
        <w:topLinePunct w:val="0"/>
        <w:bidi w:val="0"/>
        <w:spacing w:line="340" w:lineRule="exact"/>
        <w:ind w:left="0" w:leftChars="0" w:firstLine="420" w:firstLineChars="200"/>
        <w:rPr>
          <w:rFonts w:hint="eastAsia"/>
        </w:rPr>
      </w:pPr>
      <w:r>
        <w:rPr>
          <w:rFonts w:hint="eastAsia"/>
        </w:rPr>
        <w:t>（十）如发现检测数据或排放水质不符合《广东省水污染物排放限值》（DB44/26-2001）第二时段一级标准或河源地方环保部门环评监测要求的，由供应商负责整改并承担相应法律责任，同时采购人有权对供应商扣除全部或部分履约保证金。</w:t>
      </w:r>
    </w:p>
    <w:p>
      <w:pPr>
        <w:pageBreakBefore w:val="0"/>
        <w:kinsoku/>
        <w:wordWrap/>
        <w:overflowPunct/>
        <w:topLinePunct w:val="0"/>
        <w:bidi w:val="0"/>
        <w:spacing w:line="340" w:lineRule="exact"/>
        <w:ind w:left="0" w:leftChars="0" w:firstLine="420" w:firstLineChars="200"/>
        <w:rPr>
          <w:rFonts w:hint="eastAsia"/>
        </w:rPr>
      </w:pPr>
      <w:r>
        <w:rPr>
          <w:rFonts w:hint="eastAsia"/>
        </w:rPr>
        <w:t>（十一）供应商工作人员进入工作区的证件由采购人解决，工作人员必须遵守污水处理站的各项规章制度服从采购人管理人员检查和监督。并且要保护好站内的一切设施、消防设施及保持周边环境卫生，违者按采购人规定处理，供应商承担违约责任。</w:t>
      </w:r>
    </w:p>
    <w:p>
      <w:pPr>
        <w:pageBreakBefore w:val="0"/>
        <w:kinsoku/>
        <w:wordWrap/>
        <w:overflowPunct/>
        <w:topLinePunct w:val="0"/>
        <w:bidi w:val="0"/>
        <w:spacing w:line="340" w:lineRule="exact"/>
        <w:ind w:left="0" w:leftChars="0" w:firstLine="420" w:firstLineChars="200"/>
        <w:rPr>
          <w:rFonts w:hint="eastAsia"/>
        </w:rPr>
      </w:pPr>
      <w:r>
        <w:rPr>
          <w:rFonts w:hint="eastAsia"/>
        </w:rPr>
        <w:t>（十二）供应商负责每</w:t>
      </w:r>
      <w:r>
        <w:rPr>
          <w:rFonts w:hint="eastAsia"/>
          <w:lang w:val="en-US" w:eastAsia="zh-CN"/>
        </w:rPr>
        <w:t>月</w:t>
      </w:r>
      <w:r>
        <w:rPr>
          <w:rFonts w:hint="eastAsia"/>
        </w:rPr>
        <w:t>对排放水质委托在河源市环保局有备案的第三方机构检测一次并出具检测报告给采购人保存备案，费用由供应商负责。</w:t>
      </w:r>
    </w:p>
    <w:p>
      <w:pPr>
        <w:pageBreakBefore w:val="0"/>
        <w:kinsoku/>
        <w:wordWrap/>
        <w:overflowPunct/>
        <w:topLinePunct w:val="0"/>
        <w:bidi w:val="0"/>
        <w:spacing w:line="340" w:lineRule="exact"/>
        <w:ind w:left="0" w:leftChars="0" w:firstLine="420" w:firstLineChars="200"/>
        <w:rPr>
          <w:rFonts w:hint="eastAsia"/>
        </w:rPr>
      </w:pPr>
      <w:r>
        <w:rPr>
          <w:rFonts w:hint="eastAsia"/>
        </w:rPr>
        <w:t>（十三）供应商需提供合法发票和检测报告。</w:t>
      </w:r>
    </w:p>
    <w:p>
      <w:pPr>
        <w:pageBreakBefore w:val="0"/>
        <w:kinsoku/>
        <w:wordWrap/>
        <w:overflowPunct/>
        <w:topLinePunct w:val="0"/>
        <w:bidi w:val="0"/>
        <w:spacing w:line="340" w:lineRule="exact"/>
        <w:ind w:left="0" w:leftChars="0" w:firstLine="420" w:firstLineChars="200"/>
        <w:rPr>
          <w:rFonts w:hint="eastAsia"/>
        </w:rPr>
      </w:pPr>
      <w:r>
        <w:rPr>
          <w:rFonts w:hint="eastAsia"/>
        </w:rPr>
        <w:t>五、合同期限</w:t>
      </w:r>
    </w:p>
    <w:p>
      <w:pPr>
        <w:pageBreakBefore w:val="0"/>
        <w:kinsoku/>
        <w:wordWrap/>
        <w:overflowPunct/>
        <w:topLinePunct w:val="0"/>
        <w:bidi w:val="0"/>
        <w:spacing w:line="340" w:lineRule="exact"/>
        <w:ind w:left="0" w:leftChars="0" w:firstLine="420" w:firstLineChars="200"/>
        <w:rPr>
          <w:rFonts w:hint="eastAsia"/>
        </w:rPr>
      </w:pPr>
      <w:r>
        <w:rPr>
          <w:rFonts w:hint="eastAsia"/>
        </w:rPr>
        <w:t xml:space="preserve"> 202</w:t>
      </w:r>
      <w:r>
        <w:rPr>
          <w:rFonts w:hint="eastAsia"/>
          <w:lang w:val="en-US" w:eastAsia="zh-CN"/>
        </w:rPr>
        <w:t>5</w:t>
      </w:r>
      <w:r>
        <w:rPr>
          <w:rFonts w:hint="eastAsia"/>
        </w:rPr>
        <w:t>年2月28日至202</w:t>
      </w:r>
      <w:r>
        <w:rPr>
          <w:rFonts w:hint="eastAsia"/>
          <w:lang w:val="en-US" w:eastAsia="zh-CN"/>
        </w:rPr>
        <w:t>6</w:t>
      </w:r>
      <w:r>
        <w:rPr>
          <w:rFonts w:hint="eastAsia"/>
        </w:rPr>
        <w:t>年2月27日。</w:t>
      </w:r>
    </w:p>
    <w:p>
      <w:pPr>
        <w:pageBreakBefore w:val="0"/>
        <w:kinsoku/>
        <w:wordWrap/>
        <w:overflowPunct/>
        <w:topLinePunct w:val="0"/>
        <w:bidi w:val="0"/>
        <w:spacing w:line="340" w:lineRule="exact"/>
        <w:ind w:left="0" w:leftChars="0" w:firstLine="420" w:firstLineChars="200"/>
        <w:rPr>
          <w:rFonts w:hint="eastAsia"/>
        </w:rPr>
      </w:pPr>
      <w:r>
        <w:rPr>
          <w:rFonts w:hint="eastAsia"/>
        </w:rPr>
        <w:t>六、支付方式</w:t>
      </w:r>
    </w:p>
    <w:p>
      <w:pPr>
        <w:pageBreakBefore w:val="0"/>
        <w:kinsoku/>
        <w:wordWrap/>
        <w:overflowPunct/>
        <w:topLinePunct w:val="0"/>
        <w:bidi w:val="0"/>
        <w:spacing w:line="340" w:lineRule="exact"/>
        <w:ind w:left="0" w:leftChars="0" w:firstLine="420" w:firstLineChars="200"/>
        <w:rPr>
          <w:rFonts w:hint="eastAsia"/>
        </w:rPr>
      </w:pPr>
      <w:r>
        <w:rPr>
          <w:rFonts w:hint="eastAsia"/>
        </w:rPr>
        <w:t>每季度支付一次，每次付款金额为合同金额的25%。项目经检测验收合格，采购人收到供应商合法有效发票后，15日内以转账方式付款。合同签订后10个工作日内，供应商向采购人缴纳合同金额的5%作为履约保证金，合同期满后15个工作日内无息退还。</w:t>
      </w:r>
    </w:p>
    <w:p>
      <w:pPr>
        <w:pageBreakBefore w:val="0"/>
        <w:kinsoku/>
        <w:wordWrap/>
        <w:overflowPunct/>
        <w:topLinePunct w:val="0"/>
        <w:bidi w:val="0"/>
        <w:spacing w:line="340" w:lineRule="exact"/>
        <w:ind w:left="0" w:leftChars="0" w:firstLine="420" w:firstLineChars="200"/>
        <w:rPr>
          <w:rFonts w:hint="eastAsia"/>
        </w:rPr>
      </w:pPr>
      <w:r>
        <w:rPr>
          <w:rFonts w:hint="eastAsia"/>
        </w:rPr>
        <w:t>七、服务保障</w:t>
      </w:r>
    </w:p>
    <w:p>
      <w:pPr>
        <w:pageBreakBefore w:val="0"/>
        <w:kinsoku/>
        <w:wordWrap/>
        <w:overflowPunct/>
        <w:topLinePunct w:val="0"/>
        <w:bidi w:val="0"/>
        <w:spacing w:line="340" w:lineRule="exact"/>
        <w:ind w:left="0" w:leftChars="0" w:firstLine="420" w:firstLineChars="200"/>
        <w:rPr>
          <w:rFonts w:hint="eastAsia"/>
        </w:rPr>
      </w:pPr>
      <w:r>
        <w:rPr>
          <w:rFonts w:hint="eastAsia"/>
        </w:rPr>
        <w:t>（一）供应商负责对运营管理人员的安全教育，严格按照国家相关安全操作规程实施，做好安全防范措施，做到安全文明操作。</w:t>
      </w:r>
    </w:p>
    <w:p>
      <w:pPr>
        <w:pageBreakBefore w:val="0"/>
        <w:kinsoku/>
        <w:wordWrap/>
        <w:overflowPunct/>
        <w:topLinePunct w:val="0"/>
        <w:bidi w:val="0"/>
        <w:spacing w:line="340" w:lineRule="exact"/>
        <w:ind w:left="0" w:leftChars="0" w:firstLine="420" w:firstLineChars="200"/>
        <w:rPr>
          <w:rFonts w:hint="eastAsia"/>
        </w:rPr>
      </w:pPr>
      <w:r>
        <w:rPr>
          <w:rFonts w:hint="eastAsia"/>
        </w:rPr>
        <w:t>（二）供应商应确污水达标后排放，如发生环保水质污染等各类环保安全事故的，造成所有损失和责任均由供应商承担，与采购人无关。</w:t>
      </w:r>
    </w:p>
    <w:p>
      <w:pPr>
        <w:pageBreakBefore w:val="0"/>
        <w:kinsoku/>
        <w:wordWrap/>
        <w:overflowPunct/>
        <w:topLinePunct w:val="0"/>
        <w:bidi w:val="0"/>
        <w:spacing w:line="340" w:lineRule="exact"/>
        <w:ind w:left="0" w:leftChars="0" w:firstLine="420" w:firstLineChars="200"/>
        <w:rPr>
          <w:rFonts w:hint="eastAsia"/>
        </w:rPr>
      </w:pPr>
      <w:r>
        <w:rPr>
          <w:rFonts w:hint="eastAsia"/>
        </w:rPr>
        <w:t>八、验收标准</w:t>
      </w:r>
    </w:p>
    <w:p>
      <w:pPr>
        <w:pageBreakBefore w:val="0"/>
        <w:kinsoku/>
        <w:wordWrap/>
        <w:overflowPunct/>
        <w:topLinePunct w:val="0"/>
        <w:bidi w:val="0"/>
        <w:spacing w:line="340" w:lineRule="exact"/>
        <w:ind w:left="0" w:leftChars="0" w:firstLine="420" w:firstLineChars="200"/>
        <w:rPr>
          <w:rFonts w:hint="eastAsia"/>
        </w:rPr>
      </w:pPr>
      <w:r>
        <w:rPr>
          <w:rFonts w:hint="eastAsia"/>
        </w:rPr>
        <w:t>供应商每</w:t>
      </w:r>
      <w:r>
        <w:rPr>
          <w:rFonts w:hint="eastAsia"/>
          <w:lang w:val="en-US" w:eastAsia="zh-CN"/>
        </w:rPr>
        <w:t>月</w:t>
      </w:r>
      <w:r>
        <w:rPr>
          <w:rFonts w:hint="eastAsia"/>
        </w:rPr>
        <w:t>提供水质检测合格报告，且无环保事故发生。</w:t>
      </w:r>
    </w:p>
    <w:p>
      <w:pPr>
        <w:pageBreakBefore w:val="0"/>
        <w:kinsoku/>
        <w:wordWrap/>
        <w:overflowPunct/>
        <w:topLinePunct w:val="0"/>
        <w:bidi w:val="0"/>
        <w:spacing w:line="340" w:lineRule="exact"/>
        <w:ind w:left="0" w:leftChars="0" w:firstLine="420" w:firstLineChars="200"/>
        <w:rPr>
          <w:rFonts w:hint="eastAsia"/>
        </w:rPr>
      </w:pPr>
      <w:r>
        <w:rPr>
          <w:rFonts w:hint="eastAsia"/>
        </w:rPr>
        <w:t>附件：广东省河源监狱污水处理站运营托管服务明细表</w:t>
      </w:r>
    </w:p>
    <w:tbl>
      <w:tblPr>
        <w:tblStyle w:val="16"/>
        <w:tblW w:w="8680" w:type="dxa"/>
        <w:tblInd w:w="0" w:type="dxa"/>
        <w:shd w:val="clear" w:color="auto" w:fill="auto"/>
        <w:tblLayout w:type="fixed"/>
        <w:tblCellMar>
          <w:top w:w="0" w:type="dxa"/>
          <w:left w:w="0" w:type="dxa"/>
          <w:bottom w:w="0" w:type="dxa"/>
          <w:right w:w="0" w:type="dxa"/>
        </w:tblCellMar>
      </w:tblPr>
      <w:tblGrid>
        <w:gridCol w:w="657"/>
        <w:gridCol w:w="1680"/>
        <w:gridCol w:w="2340"/>
        <w:gridCol w:w="711"/>
        <w:gridCol w:w="814"/>
        <w:gridCol w:w="1269"/>
        <w:gridCol w:w="1209"/>
      </w:tblGrid>
      <w:tr>
        <w:tblPrEx>
          <w:tblLayout w:type="fixed"/>
          <w:tblCellMar>
            <w:top w:w="0" w:type="dxa"/>
            <w:left w:w="0" w:type="dxa"/>
            <w:bottom w:w="0" w:type="dxa"/>
            <w:right w:w="0" w:type="dxa"/>
          </w:tblCellMar>
        </w:tblPrEx>
        <w:trPr>
          <w:trHeight w:val="689" w:hRule="atLeast"/>
        </w:trPr>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序号</w:t>
            </w:r>
          </w:p>
        </w:tc>
        <w:tc>
          <w:tcPr>
            <w:tcW w:w="16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项目</w:t>
            </w:r>
          </w:p>
        </w:tc>
        <w:tc>
          <w:tcPr>
            <w:tcW w:w="23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内容</w:t>
            </w:r>
          </w:p>
        </w:tc>
        <w:tc>
          <w:tcPr>
            <w:tcW w:w="7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数量</w:t>
            </w:r>
          </w:p>
        </w:tc>
        <w:tc>
          <w:tcPr>
            <w:tcW w:w="81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单位</w:t>
            </w:r>
          </w:p>
        </w:tc>
        <w:tc>
          <w:tcPr>
            <w:tcW w:w="12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单价最高限价（元）</w:t>
            </w:r>
          </w:p>
        </w:tc>
        <w:tc>
          <w:tcPr>
            <w:tcW w:w="120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小计</w:t>
            </w:r>
          </w:p>
          <w:p>
            <w:pPr>
              <w:keepNext w:val="0"/>
              <w:keepLines w:val="0"/>
              <w:widowControl/>
              <w:suppressLineNumbers w:val="0"/>
              <w:jc w:val="center"/>
              <w:textAlignment w:val="cente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（元）</w:t>
            </w:r>
          </w:p>
        </w:tc>
      </w:tr>
      <w:tr>
        <w:tblPrEx>
          <w:shd w:val="clear" w:color="auto" w:fill="auto"/>
          <w:tblLayout w:type="fixed"/>
          <w:tblCellMar>
            <w:top w:w="0" w:type="dxa"/>
            <w:left w:w="0" w:type="dxa"/>
            <w:bottom w:w="0" w:type="dxa"/>
            <w:right w:w="0" w:type="dxa"/>
          </w:tblCellMar>
        </w:tblPrEx>
        <w:trPr>
          <w:trHeight w:val="922" w:hRule="atLeast"/>
        </w:trPr>
        <w:tc>
          <w:tcPr>
            <w:tcW w:w="6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人工费</w:t>
            </w:r>
          </w:p>
        </w:tc>
        <w:tc>
          <w:tcPr>
            <w:tcW w:w="23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废水处理系统采用24小时连续运行，需每日（8：00-12：00；14：00-18：00）委派专业操作人员到污水处理厂进行驻点运维操作，如遇极端天气或采购人其他临时安排工作，应及时到位处理。</w:t>
            </w:r>
          </w:p>
        </w:tc>
        <w:tc>
          <w:tcPr>
            <w:tcW w:w="7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月</w:t>
            </w:r>
          </w:p>
        </w:tc>
        <w:tc>
          <w:tcPr>
            <w:tcW w:w="12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5025</w:t>
            </w:r>
          </w:p>
        </w:tc>
        <w:tc>
          <w:tcPr>
            <w:tcW w:w="12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60300</w:t>
            </w:r>
          </w:p>
        </w:tc>
      </w:tr>
      <w:tr>
        <w:tblPrEx>
          <w:shd w:val="clear" w:color="auto" w:fill="auto"/>
          <w:tblLayout w:type="fixed"/>
          <w:tblCellMar>
            <w:top w:w="0" w:type="dxa"/>
            <w:left w:w="0" w:type="dxa"/>
            <w:bottom w:w="0" w:type="dxa"/>
            <w:right w:w="0" w:type="dxa"/>
          </w:tblCellMar>
        </w:tblPrEx>
        <w:trPr>
          <w:trHeight w:val="1523" w:hRule="atLeast"/>
        </w:trPr>
        <w:tc>
          <w:tcPr>
            <w:tcW w:w="6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药剂费（一期污水处理站2000m³/D</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2025.2.28-2026.2.27）</w:t>
            </w:r>
          </w:p>
        </w:tc>
        <w:tc>
          <w:tcPr>
            <w:tcW w:w="23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消毒药剂全包（PAC、PAM、次氯酸钠）</w:t>
            </w:r>
          </w:p>
        </w:tc>
        <w:tc>
          <w:tcPr>
            <w:tcW w:w="7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月</w:t>
            </w:r>
          </w:p>
        </w:tc>
        <w:tc>
          <w:tcPr>
            <w:tcW w:w="12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4805</w:t>
            </w:r>
          </w:p>
        </w:tc>
        <w:tc>
          <w:tcPr>
            <w:tcW w:w="12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57660</w:t>
            </w:r>
          </w:p>
        </w:tc>
      </w:tr>
      <w:tr>
        <w:tblPrEx>
          <w:shd w:val="clear" w:color="auto" w:fill="auto"/>
          <w:tblLayout w:type="fixed"/>
          <w:tblCellMar>
            <w:top w:w="0" w:type="dxa"/>
            <w:left w:w="0" w:type="dxa"/>
            <w:bottom w:w="0" w:type="dxa"/>
            <w:right w:w="0" w:type="dxa"/>
          </w:tblCellMar>
        </w:tblPrEx>
        <w:trPr>
          <w:trHeight w:val="1349" w:hRule="atLeast"/>
        </w:trPr>
        <w:tc>
          <w:tcPr>
            <w:tcW w:w="6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药剂费（二期污水处理站1000m³/D</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2025.2.28-2026.2.27）</w:t>
            </w:r>
          </w:p>
        </w:tc>
        <w:tc>
          <w:tcPr>
            <w:tcW w:w="23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消毒药剂全包（PAC、PAM、次氯酸钠）</w:t>
            </w:r>
          </w:p>
        </w:tc>
        <w:tc>
          <w:tcPr>
            <w:tcW w:w="7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c>
          <w:tcPr>
            <w:tcW w:w="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月</w:t>
            </w:r>
          </w:p>
        </w:tc>
        <w:tc>
          <w:tcPr>
            <w:tcW w:w="12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3316</w:t>
            </w:r>
          </w:p>
        </w:tc>
        <w:tc>
          <w:tcPr>
            <w:tcW w:w="12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39792</w:t>
            </w:r>
          </w:p>
        </w:tc>
      </w:tr>
      <w:tr>
        <w:tblPrEx>
          <w:shd w:val="clear" w:color="auto" w:fill="auto"/>
          <w:tblLayout w:type="fixed"/>
          <w:tblCellMar>
            <w:top w:w="0" w:type="dxa"/>
            <w:left w:w="0" w:type="dxa"/>
            <w:bottom w:w="0" w:type="dxa"/>
            <w:right w:w="0" w:type="dxa"/>
          </w:tblCellMar>
        </w:tblPrEx>
        <w:trPr>
          <w:trHeight w:val="964" w:hRule="atLeast"/>
        </w:trPr>
        <w:tc>
          <w:tcPr>
            <w:tcW w:w="6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内部检测费</w:t>
            </w:r>
          </w:p>
        </w:tc>
        <w:tc>
          <w:tcPr>
            <w:tcW w:w="23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每天两次内部检测（PH、余氯等）</w:t>
            </w:r>
          </w:p>
        </w:tc>
        <w:tc>
          <w:tcPr>
            <w:tcW w:w="7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2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1438</w:t>
            </w:r>
          </w:p>
        </w:tc>
        <w:tc>
          <w:tcPr>
            <w:tcW w:w="12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1438</w:t>
            </w:r>
          </w:p>
        </w:tc>
      </w:tr>
      <w:tr>
        <w:tblPrEx>
          <w:shd w:val="clear" w:color="auto" w:fill="auto"/>
          <w:tblLayout w:type="fixed"/>
          <w:tblCellMar>
            <w:top w:w="0" w:type="dxa"/>
            <w:left w:w="0" w:type="dxa"/>
            <w:bottom w:w="0" w:type="dxa"/>
            <w:right w:w="0" w:type="dxa"/>
          </w:tblCellMar>
        </w:tblPrEx>
        <w:trPr>
          <w:trHeight w:val="1638" w:hRule="atLeast"/>
        </w:trPr>
        <w:tc>
          <w:tcPr>
            <w:tcW w:w="6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第三方检测</w:t>
            </w:r>
          </w:p>
        </w:tc>
        <w:tc>
          <w:tcPr>
            <w:tcW w:w="23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PH、色度、化学需氧量、悬浮物、五日生化需氧量、石油类、动植物油、挥发酚、总氧化物、沙门氏菌、总余氯</w:t>
            </w:r>
          </w:p>
        </w:tc>
        <w:tc>
          <w:tcPr>
            <w:tcW w:w="7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c>
          <w:tcPr>
            <w:tcW w:w="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次</w:t>
            </w:r>
          </w:p>
        </w:tc>
        <w:tc>
          <w:tcPr>
            <w:tcW w:w="12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3342</w:t>
            </w:r>
          </w:p>
        </w:tc>
        <w:tc>
          <w:tcPr>
            <w:tcW w:w="12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40104</w:t>
            </w:r>
          </w:p>
        </w:tc>
      </w:tr>
      <w:tr>
        <w:tblPrEx>
          <w:tblLayout w:type="fixed"/>
          <w:tblCellMar>
            <w:top w:w="0" w:type="dxa"/>
            <w:left w:w="0" w:type="dxa"/>
            <w:bottom w:w="0" w:type="dxa"/>
            <w:right w:w="0" w:type="dxa"/>
          </w:tblCellMar>
        </w:tblPrEx>
        <w:trPr>
          <w:trHeight w:val="1581" w:hRule="atLeast"/>
        </w:trPr>
        <w:tc>
          <w:tcPr>
            <w:tcW w:w="6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设备维护保养（一期污水处理站2000m³/D</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2025.2.28-2026.2.27）</w:t>
            </w:r>
          </w:p>
        </w:tc>
        <w:tc>
          <w:tcPr>
            <w:tcW w:w="23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负责污水处理设备维修保养</w:t>
            </w:r>
          </w:p>
        </w:tc>
        <w:tc>
          <w:tcPr>
            <w:tcW w:w="7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月</w:t>
            </w:r>
          </w:p>
        </w:tc>
        <w:tc>
          <w:tcPr>
            <w:tcW w:w="12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458</w:t>
            </w:r>
          </w:p>
        </w:tc>
        <w:tc>
          <w:tcPr>
            <w:tcW w:w="12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5496</w:t>
            </w:r>
          </w:p>
        </w:tc>
      </w:tr>
      <w:tr>
        <w:tblPrEx>
          <w:tblLayout w:type="fixed"/>
          <w:tblCellMar>
            <w:top w:w="0" w:type="dxa"/>
            <w:left w:w="0" w:type="dxa"/>
            <w:bottom w:w="0" w:type="dxa"/>
            <w:right w:w="0" w:type="dxa"/>
          </w:tblCellMar>
        </w:tblPrEx>
        <w:trPr>
          <w:trHeight w:val="1222" w:hRule="atLeast"/>
        </w:trPr>
        <w:tc>
          <w:tcPr>
            <w:tcW w:w="6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设备维护保养（二期污水处理站1000m³/D</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2025.2.28-2026.2.27）</w:t>
            </w:r>
          </w:p>
        </w:tc>
        <w:tc>
          <w:tcPr>
            <w:tcW w:w="23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负责污水处理设备维修保养</w:t>
            </w:r>
          </w:p>
        </w:tc>
        <w:tc>
          <w:tcPr>
            <w:tcW w:w="7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c>
          <w:tcPr>
            <w:tcW w:w="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月</w:t>
            </w:r>
          </w:p>
        </w:tc>
        <w:tc>
          <w:tcPr>
            <w:tcW w:w="12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263</w:t>
            </w:r>
          </w:p>
        </w:tc>
        <w:tc>
          <w:tcPr>
            <w:tcW w:w="12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3156</w:t>
            </w:r>
          </w:p>
        </w:tc>
      </w:tr>
      <w:tr>
        <w:tblPrEx>
          <w:shd w:val="clear" w:color="auto" w:fill="auto"/>
          <w:tblLayout w:type="fixed"/>
          <w:tblCellMar>
            <w:top w:w="0" w:type="dxa"/>
            <w:left w:w="0" w:type="dxa"/>
            <w:bottom w:w="0" w:type="dxa"/>
            <w:right w:w="0" w:type="dxa"/>
          </w:tblCellMar>
        </w:tblPrEx>
        <w:trPr>
          <w:trHeight w:val="791" w:hRule="atLeast"/>
        </w:trPr>
        <w:tc>
          <w:tcPr>
            <w:tcW w:w="6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劳保用品</w:t>
            </w:r>
          </w:p>
        </w:tc>
        <w:tc>
          <w:tcPr>
            <w:tcW w:w="23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手套、工作服、口罩等防护用品</w:t>
            </w:r>
          </w:p>
        </w:tc>
        <w:tc>
          <w:tcPr>
            <w:tcW w:w="7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2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1014</w:t>
            </w:r>
          </w:p>
        </w:tc>
        <w:tc>
          <w:tcPr>
            <w:tcW w:w="12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1014</w:t>
            </w:r>
          </w:p>
        </w:tc>
      </w:tr>
      <w:tr>
        <w:tblPrEx>
          <w:shd w:val="clear" w:color="auto" w:fill="auto"/>
          <w:tblLayout w:type="fixed"/>
          <w:tblCellMar>
            <w:top w:w="0" w:type="dxa"/>
            <w:left w:w="0" w:type="dxa"/>
            <w:bottom w:w="0" w:type="dxa"/>
            <w:right w:w="0" w:type="dxa"/>
          </w:tblCellMar>
        </w:tblPrEx>
        <w:trPr>
          <w:trHeight w:val="922" w:hRule="atLeast"/>
        </w:trPr>
        <w:tc>
          <w:tcPr>
            <w:tcW w:w="6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污泥清运处理</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（一期污水处理站2025.2.28-2026.2.27）</w:t>
            </w:r>
          </w:p>
        </w:tc>
        <w:tc>
          <w:tcPr>
            <w:tcW w:w="23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压滤机产生的污泥清运</w:t>
            </w:r>
          </w:p>
        </w:tc>
        <w:tc>
          <w:tcPr>
            <w:tcW w:w="7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2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7850</w:t>
            </w:r>
          </w:p>
        </w:tc>
        <w:tc>
          <w:tcPr>
            <w:tcW w:w="12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7850</w:t>
            </w:r>
          </w:p>
        </w:tc>
      </w:tr>
      <w:tr>
        <w:tblPrEx>
          <w:shd w:val="clear" w:color="auto" w:fill="auto"/>
          <w:tblLayout w:type="fixed"/>
          <w:tblCellMar>
            <w:top w:w="0" w:type="dxa"/>
            <w:left w:w="0" w:type="dxa"/>
            <w:bottom w:w="0" w:type="dxa"/>
            <w:right w:w="0" w:type="dxa"/>
          </w:tblCellMar>
        </w:tblPrEx>
        <w:trPr>
          <w:trHeight w:val="922" w:hRule="atLeast"/>
        </w:trPr>
        <w:tc>
          <w:tcPr>
            <w:tcW w:w="6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污泥清运处理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（二期污水处理站2025.2.28-2026.2.27）</w:t>
            </w:r>
          </w:p>
        </w:tc>
        <w:tc>
          <w:tcPr>
            <w:tcW w:w="23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压滤机产生的污泥清运</w:t>
            </w:r>
          </w:p>
        </w:tc>
        <w:tc>
          <w:tcPr>
            <w:tcW w:w="7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2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3685</w:t>
            </w:r>
          </w:p>
        </w:tc>
        <w:tc>
          <w:tcPr>
            <w:tcW w:w="120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3685</w:t>
            </w:r>
          </w:p>
        </w:tc>
      </w:tr>
      <w:tr>
        <w:tblPrEx>
          <w:shd w:val="clear" w:color="auto" w:fill="auto"/>
          <w:tblLayout w:type="fixed"/>
          <w:tblCellMar>
            <w:top w:w="0" w:type="dxa"/>
            <w:left w:w="0" w:type="dxa"/>
            <w:bottom w:w="0" w:type="dxa"/>
            <w:right w:w="0" w:type="dxa"/>
          </w:tblCellMar>
        </w:tblPrEx>
        <w:trPr>
          <w:trHeight w:val="694" w:hRule="atLeast"/>
        </w:trPr>
        <w:tc>
          <w:tcPr>
            <w:tcW w:w="6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合计</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（元）</w:t>
            </w:r>
          </w:p>
        </w:tc>
        <w:tc>
          <w:tcPr>
            <w:tcW w:w="6343" w:type="dxa"/>
            <w:gridSpan w:val="5"/>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220495</w:t>
            </w:r>
          </w:p>
        </w:tc>
      </w:tr>
    </w:tbl>
    <w:p/>
    <w:p>
      <w:pPr>
        <w:pStyle w:val="5"/>
        <w:rPr>
          <w:rFonts w:hint="eastAsia" w:asciiTheme="minorEastAsia" w:hAnsiTheme="minorEastAsia" w:eastAsiaTheme="minorEastAsia" w:cstheme="minorEastAsia"/>
          <w:sz w:val="21"/>
          <w:szCs w:val="21"/>
          <w:lang w:eastAsia="zh-CN"/>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18"/>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b/>
          <w:bCs/>
          <w:sz w:val="44"/>
          <w:szCs w:val="44"/>
          <w:lang w:val="en-US" w:eastAsia="zh-CN"/>
        </w:rPr>
      </w:pPr>
      <w:r>
        <w:rPr>
          <w:rFonts w:hint="eastAsia"/>
          <w:b/>
          <w:bCs/>
          <w:sz w:val="36"/>
          <w:szCs w:val="36"/>
          <w:lang w:val="en-US" w:eastAsia="zh-CN"/>
        </w:rPr>
        <w:t>广东省河源监狱污水处理站运营托管服务项目</w:t>
      </w:r>
    </w:p>
    <w:p>
      <w:pPr>
        <w:pStyle w:val="4"/>
        <w:pageBreakBefore w:val="0"/>
        <w:kinsoku/>
        <w:wordWrap/>
        <w:overflowPunct/>
        <w:topLinePunct w:val="0"/>
        <w:autoSpaceDE/>
        <w:autoSpaceDN/>
        <w:bidi w:val="0"/>
        <w:spacing w:line="760" w:lineRule="exact"/>
        <w:textAlignment w:val="auto"/>
        <w:rPr>
          <w:rFonts w:hint="eastAsia" w:ascii="仿宋" w:hAnsi="仿宋" w:eastAsia="仿宋" w:cs="仿宋"/>
          <w:b/>
          <w:bCs/>
          <w:sz w:val="32"/>
          <w:szCs w:val="32"/>
          <w:lang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18"/>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pStyle w:val="8"/>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二、资格声明书…………………………………………2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三、营业执照副本………………………………………3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四、</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六</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6</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Style w:val="18"/>
        <w:pageBreakBefore w:val="0"/>
        <w:kinsoku/>
        <w:wordWrap/>
        <w:overflowPunct/>
        <w:topLinePunct w:val="0"/>
        <w:bidi w:val="0"/>
        <w:spacing w:line="340" w:lineRule="exact"/>
        <w:rPr>
          <w:rFonts w:hint="eastAsia"/>
        </w:rPr>
      </w:pPr>
    </w:p>
    <w:p>
      <w:pPr>
        <w:pageBreakBefore w:val="0"/>
        <w:widowControl/>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（一）资格性、符合性部分</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1．报价函</w:t>
      </w:r>
    </w:p>
    <w:p>
      <w:pPr>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  价  函</w:t>
      </w:r>
    </w:p>
    <w:p>
      <w:pPr>
        <w:pStyle w:val="21"/>
        <w:keepNext w:val="0"/>
        <w:pageBreakBefore w:val="0"/>
        <w:widowControl/>
        <w:kinsoku/>
        <w:wordWrap/>
        <w:overflowPunct/>
        <w:topLinePunct w:val="0"/>
        <w:bidi w:val="0"/>
        <w:spacing w:after="0"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keepNext w:val="0"/>
        <w:pageBreakBefore w:val="0"/>
        <w:widowControl/>
        <w:kinsoku/>
        <w:wordWrap/>
        <w:overflowPunct/>
        <w:topLinePunct w:val="0"/>
        <w:bidi w:val="0"/>
        <w:spacing w:after="0"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w:t>
      </w: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广东省河源监狱</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根据贵方为本采购项目的报价邀请，我方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名称）作为</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正式授权</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（授权代表全名，职务）代表我方进行有关本报价的一切事宜。</w:t>
      </w:r>
    </w:p>
    <w:p>
      <w:pPr>
        <w:pStyle w:val="2"/>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在此提交的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文件，包括如下等内容，并已密封封装：</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（一）报价文件。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我方已完全明白文件的所有条款要求，并重申以下几点：</w:t>
      </w:r>
    </w:p>
    <w:p>
      <w:pPr>
        <w:ind w:left="0" w:leftChars="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（一）我方决定参加“</w:t>
      </w:r>
      <w:r>
        <w:rPr>
          <w:rFonts w:hint="eastAsia" w:asciiTheme="minorEastAsia" w:hAnsiTheme="minorEastAsia" w:cstheme="minorEastAsia"/>
          <w:sz w:val="21"/>
          <w:szCs w:val="21"/>
          <w:u w:val="single"/>
          <w:lang w:val="en-US" w:eastAsia="zh-CN"/>
        </w:rPr>
        <w:t>广东省河源监狱污水处理站运营托管服务项目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（二）全部货物之供应和有关服务的报价总价（详见报价表）；</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（三）本报价文件的有效期自报价截止日后90天有效，如成交，有效期将延至合同终止日为止；</w:t>
      </w:r>
    </w:p>
    <w:p>
      <w:pPr>
        <w:keepNext w:val="0"/>
        <w:keepLines w:val="0"/>
        <w:pageBreakBefore w:val="0"/>
        <w:kinsoku/>
        <w:wordWrap/>
        <w:overflowPunct/>
        <w:topLinePunct w:val="0"/>
        <w:autoSpaceDE w:val="0"/>
        <w:autoSpaceDN w:val="0"/>
        <w:bidi w:val="0"/>
        <w:adjustRightInd w:val="0"/>
        <w:snapToGrid/>
        <w:spacing w:line="360" w:lineRule="exact"/>
        <w:ind w:firstLine="424" w:firstLineChars="202"/>
        <w:jc w:val="left"/>
        <w:textAlignment w:val="auto"/>
        <w:outlineLvl w:val="9"/>
        <w:rPr>
          <w:rFonts w:hint="eastAsia" w:ascii="宋体" w:hAnsi="宋体" w:cs="Times New Roman" w:eastAsiaTheme="minorEastAsia"/>
          <w:kern w:val="0"/>
          <w:szCs w:val="21"/>
          <w:lang w:eastAsia="zh-CN"/>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（四）我方已详细研究了文件的所有内容包括修正文（如有）和所有已提供的参考资料以及有关附件并完全明白，我方放弃在此方面提出含糊意见或误解的一切权力</w:t>
      </w:r>
      <w:r>
        <w:rPr>
          <w:rFonts w:hint="eastAsia" w:ascii="宋体" w:hAnsi="宋体" w:cs="Times New Roman"/>
          <w:kern w:val="0"/>
          <w:szCs w:val="21"/>
        </w:rPr>
        <w:t>，明确承诺对于本项目的用户需求中的各项条款、内容及要求均为完全响应，不存在任意一条负偏离或不响应的情况。</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w:t>
      </w:r>
      <w:r>
        <w:rPr>
          <w:rFonts w:hint="eastAsia" w:ascii="宋体" w:hAnsi="宋体" w:cs="Times New Roman"/>
          <w:kern w:val="0"/>
          <w:szCs w:val="21"/>
        </w:rPr>
        <w:t>清楚，若对于用户需求书各项条款存在任意一条负偏离或不响应的情况，不被推荐为成交候选人的要求</w:t>
      </w:r>
      <w:r>
        <w:rPr>
          <w:rFonts w:hint="eastAsia" w:ascii="宋体" w:hAnsi="宋体" w:cs="Times New Roman"/>
          <w:kern w:val="0"/>
          <w:szCs w:val="21"/>
          <w:lang w:val="en-US" w:eastAsia="zh-CN"/>
        </w:rPr>
        <w:t>；</w:t>
      </w:r>
    </w:p>
    <w:p>
      <w:pPr>
        <w:keepNext w:val="0"/>
        <w:keepLines w:val="0"/>
        <w:pageBreakBefore w:val="0"/>
        <w:kinsoku/>
        <w:wordWrap/>
        <w:overflowPunct/>
        <w:topLinePunct w:val="0"/>
        <w:bidi w:val="0"/>
        <w:snapToGrid/>
        <w:spacing w:line="360" w:lineRule="exact"/>
        <w:ind w:left="11" w:leftChars="0" w:firstLine="420" w:firstLineChars="20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）我方同意按照贵方可能提出的要求而提供与报价有关的任何其他数据或信息；</w:t>
      </w:r>
    </w:p>
    <w:p>
      <w:pPr>
        <w:keepNext w:val="0"/>
        <w:keepLines w:val="0"/>
        <w:pageBreakBefore w:val="0"/>
        <w:kinsoku/>
        <w:wordWrap/>
        <w:overflowPunct/>
        <w:topLinePunct w:val="0"/>
        <w:bidi w:val="0"/>
        <w:snapToGrid/>
        <w:spacing w:line="360" w:lineRule="exact"/>
        <w:ind w:left="11" w:leftChars="0" w:firstLine="420" w:firstLineChars="200"/>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）我方声明报价文件及所提供一切资料均真实无误，</w:t>
      </w:r>
      <w:r>
        <w:rPr>
          <w:rFonts w:hint="eastAsia" w:asciiTheme="minorEastAsia" w:hAnsiTheme="minorEastAsia" w:eastAsiaTheme="minorEastAsia" w:cstheme="minorEastAsia"/>
          <w:b/>
          <w:color w:val="000000" w:themeColor="text1"/>
          <w:sz w:val="21"/>
          <w:szCs w:val="21"/>
          <w14:textFill>
            <w14:solidFill>
              <w14:schemeClr w14:val="tx1"/>
            </w14:solidFill>
          </w14:textFill>
        </w:rPr>
        <w:t>无任何虚假或不真实的材料。如我方在报价文件中提供任何不真实的材料，无论其材料是否重要，采购人可视为报价无效，并由我方承担由此产生的全部法律责任</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）我方理解贵方不一定接受任何贵方可能收到的报价；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）我方如果成交，将保证履行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文件以及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文件修改书（如有）中的全部责任和义务，在成交通知书规定的时间内签订《合同书》，并严格按国家有关法规履行自己的全部责任，按质、按量、按期完成《合同书》中的全部任务</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8"/>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ascii="宋体" w:hAnsi="宋体"/>
          <w:szCs w:val="21"/>
          <w:u w:val="single"/>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10" w:leftChars="0" w:firstLine="409" w:firstLineChars="195"/>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8"/>
        <w:pageBreakBefore w:val="0"/>
        <w:kinsoku/>
        <w:wordWrap/>
        <w:overflowPunct/>
        <w:topLinePunct w:val="0"/>
        <w:bidi w:val="0"/>
        <w:spacing w:line="340" w:lineRule="exact"/>
        <w:ind w:left="11" w:leftChars="0" w:right="869" w:rightChars="414"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8"/>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14:textFill>
            <w14:solidFill>
              <w14:schemeClr w14:val="tx1"/>
            </w14:solidFill>
          </w14:textFill>
        </w:rPr>
        <w:t>2．资格声明书</w:t>
      </w:r>
    </w:p>
    <w:p>
      <w:pPr>
        <w:pageBreakBefore w:val="0"/>
        <w:kinsoku/>
        <w:wordWrap/>
        <w:overflowPunct/>
        <w:topLinePunct w:val="0"/>
        <w:bidi w:val="0"/>
        <w:spacing w:line="340" w:lineRule="exact"/>
        <w:jc w:val="center"/>
        <w:rPr>
          <w:rFonts w:hint="eastAsia"/>
          <w:b/>
          <w:bCs/>
          <w:sz w:val="32"/>
          <w:szCs w:val="32"/>
        </w:rPr>
      </w:pPr>
      <w:r>
        <w:rPr>
          <w:rFonts w:hint="eastAsia"/>
          <w:b/>
          <w:bCs/>
          <w:sz w:val="32"/>
          <w:szCs w:val="32"/>
        </w:rPr>
        <w:t>供应商资格声明函</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致：广东省河源监狱</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关于贵</w:t>
      </w:r>
      <w:r>
        <w:rPr>
          <w:rFonts w:hint="eastAsia"/>
          <w:lang w:val="en-US" w:eastAsia="zh-CN"/>
        </w:rPr>
        <w:t>单位</w:t>
      </w:r>
      <w:r>
        <w:rPr>
          <w:rFonts w:hint="eastAsia"/>
        </w:rPr>
        <w:t>发布</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sz w:val="21"/>
          <w:szCs w:val="21"/>
          <w:u w:val="single"/>
          <w:lang w:val="en-US" w:eastAsia="zh-CN"/>
        </w:rPr>
        <w:t xml:space="preserve">广东省河源监狱污水处理站运营托管服务项目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rPr>
        <w:t>的</w:t>
      </w:r>
      <w:r>
        <w:rPr>
          <w:rFonts w:hint="eastAsia"/>
          <w:lang w:val="en-US" w:eastAsia="zh-CN"/>
        </w:rPr>
        <w:t>邀请投标函</w:t>
      </w:r>
      <w:r>
        <w:rPr>
          <w:rFonts w:hint="eastAsia"/>
        </w:rPr>
        <w:t>，本公司（企业）愿意参加</w:t>
      </w:r>
      <w:r>
        <w:rPr>
          <w:rFonts w:hint="eastAsia"/>
          <w:lang w:eastAsia="zh-CN"/>
        </w:rPr>
        <w:t>比价</w:t>
      </w:r>
      <w:r>
        <w:rPr>
          <w:rFonts w:hint="eastAsia"/>
        </w:rPr>
        <w:t>，并声明：</w:t>
      </w:r>
    </w:p>
    <w:p>
      <w:pPr>
        <w:pageBreakBefore w:val="0"/>
        <w:kinsoku/>
        <w:wordWrap/>
        <w:overflowPunct/>
        <w:topLinePunct w:val="0"/>
        <w:bidi w:val="0"/>
        <w:spacing w:line="340" w:lineRule="exact"/>
        <w:rPr>
          <w:rFonts w:hint="eastAsia"/>
        </w:rPr>
      </w:pPr>
      <w:r>
        <w:rPr>
          <w:rFonts w:hint="eastAsia"/>
        </w:rPr>
        <w:t>　　一、本公司（企业）具备《中华人民共和国政府采购法》第二十二条规定的条件：</w:t>
      </w:r>
    </w:p>
    <w:p>
      <w:pPr>
        <w:pageBreakBefore w:val="0"/>
        <w:kinsoku/>
        <w:wordWrap/>
        <w:overflowPunct/>
        <w:topLinePunct w:val="0"/>
        <w:bidi w:val="0"/>
        <w:spacing w:line="340" w:lineRule="exact"/>
        <w:rPr>
          <w:rFonts w:hint="eastAsia"/>
        </w:rPr>
      </w:pPr>
      <w:r>
        <w:rPr>
          <w:rFonts w:hint="eastAsia"/>
        </w:rPr>
        <w:t>　　（一）具有独立承担民事责任的能力；</w:t>
      </w:r>
    </w:p>
    <w:p>
      <w:pPr>
        <w:pageBreakBefore w:val="0"/>
        <w:kinsoku/>
        <w:wordWrap/>
        <w:overflowPunct/>
        <w:topLinePunct w:val="0"/>
        <w:bidi w:val="0"/>
        <w:spacing w:line="340" w:lineRule="exact"/>
        <w:rPr>
          <w:rFonts w:hint="eastAsia"/>
        </w:rPr>
      </w:pPr>
      <w:r>
        <w:rPr>
          <w:rFonts w:hint="eastAsia"/>
        </w:rPr>
        <w:t xml:space="preserve">　　（二）具有良好的商业信誉和健全的财务会计制度； </w:t>
      </w:r>
    </w:p>
    <w:p>
      <w:pPr>
        <w:pageBreakBefore w:val="0"/>
        <w:kinsoku/>
        <w:wordWrap/>
        <w:overflowPunct/>
        <w:topLinePunct w:val="0"/>
        <w:bidi w:val="0"/>
        <w:spacing w:line="340" w:lineRule="exact"/>
        <w:rPr>
          <w:rFonts w:hint="eastAsia"/>
        </w:rPr>
      </w:pPr>
      <w:r>
        <w:rPr>
          <w:rFonts w:hint="eastAsia"/>
        </w:rPr>
        <w:t>　　（三）具有履行合同所必需的设备和专业技术能力；</w:t>
      </w:r>
    </w:p>
    <w:p>
      <w:pPr>
        <w:pageBreakBefore w:val="0"/>
        <w:kinsoku/>
        <w:wordWrap/>
        <w:overflowPunct/>
        <w:topLinePunct w:val="0"/>
        <w:bidi w:val="0"/>
        <w:spacing w:line="340" w:lineRule="exact"/>
        <w:rPr>
          <w:rFonts w:hint="eastAsia"/>
        </w:rPr>
      </w:pPr>
      <w:r>
        <w:rPr>
          <w:rFonts w:hint="eastAsia"/>
        </w:rPr>
        <w:t>　　（四）有依法缴纳税收和社会保障资金的良好记录；</w:t>
      </w:r>
    </w:p>
    <w:p>
      <w:pPr>
        <w:pageBreakBefore w:val="0"/>
        <w:kinsoku/>
        <w:wordWrap/>
        <w:overflowPunct/>
        <w:topLinePunct w:val="0"/>
        <w:bidi w:val="0"/>
        <w:spacing w:line="340" w:lineRule="exact"/>
        <w:rPr>
          <w:rFonts w:hint="eastAsia"/>
        </w:rPr>
      </w:pPr>
      <w:r>
        <w:rPr>
          <w:rFonts w:hint="eastAsia"/>
        </w:rPr>
        <w:t>　　（五）参加政府采购活动前三年内，在经营活动中没有重大违法记录；</w:t>
      </w:r>
    </w:p>
    <w:p>
      <w:pPr>
        <w:pageBreakBefore w:val="0"/>
        <w:kinsoku/>
        <w:wordWrap/>
        <w:overflowPunct/>
        <w:topLinePunct w:val="0"/>
        <w:bidi w:val="0"/>
        <w:spacing w:line="340" w:lineRule="exact"/>
        <w:rPr>
          <w:rFonts w:hint="eastAsia"/>
        </w:rPr>
      </w:pPr>
      <w:r>
        <w:rPr>
          <w:rFonts w:hint="eastAsia"/>
        </w:rPr>
        <w:t>　　（六）法律、行政法规规定的其他条件。</w:t>
      </w:r>
    </w:p>
    <w:p>
      <w:pPr>
        <w:pageBreakBefore w:val="0"/>
        <w:kinsoku/>
        <w:wordWrap/>
        <w:overflowPunct/>
        <w:topLinePunct w:val="0"/>
        <w:bidi w:val="0"/>
        <w:spacing w:line="340" w:lineRule="exact"/>
        <w:rPr>
          <w:rFonts w:hint="eastAsia"/>
        </w:rPr>
      </w:pPr>
      <w:r>
        <w:rPr>
          <w:rFonts w:hint="eastAsia"/>
        </w:rPr>
        <w:t>　　　二、本公司具有本次采购项目服务能力。</w:t>
      </w:r>
    </w:p>
    <w:p>
      <w:pPr>
        <w:pageBreakBefore w:val="0"/>
        <w:kinsoku/>
        <w:wordWrap/>
        <w:overflowPunct/>
        <w:topLinePunct w:val="0"/>
        <w:bidi w:val="0"/>
        <w:spacing w:line="340" w:lineRule="exact"/>
        <w:rPr>
          <w:rFonts w:hint="eastAsia"/>
        </w:rPr>
      </w:pPr>
      <w:r>
        <w:rPr>
          <w:rFonts w:hint="eastAsia"/>
        </w:rPr>
        <w:t>　　　三、本公司有固定的经营场所，信誉良好、售后维护服务好，并且在经营活动中无严重违法记录。</w:t>
      </w:r>
    </w:p>
    <w:p>
      <w:pPr>
        <w:pageBreakBefore w:val="0"/>
        <w:kinsoku/>
        <w:wordWrap/>
        <w:overflowPunct/>
        <w:topLinePunct w:val="0"/>
        <w:bidi w:val="0"/>
        <w:spacing w:line="340" w:lineRule="exact"/>
        <w:rPr>
          <w:rFonts w:hint="eastAsia"/>
        </w:rPr>
      </w:pPr>
      <w:r>
        <w:rPr>
          <w:rFonts w:hint="eastAsia"/>
        </w:rPr>
        <w:t>　　　本公司（企业）承诺在本次采购活动中，如有违法、违规、弄虚作假行为，所造成的损失、不良后果及法律责任，一律由我公司（企业）承担。</w:t>
      </w:r>
    </w:p>
    <w:p>
      <w:pPr>
        <w:pageBreakBefore w:val="0"/>
        <w:kinsoku/>
        <w:wordWrap/>
        <w:overflowPunct/>
        <w:topLinePunct w:val="0"/>
        <w:bidi w:val="0"/>
        <w:spacing w:line="340" w:lineRule="exact"/>
        <w:rPr>
          <w:rFonts w:hint="eastAsia"/>
        </w:rPr>
      </w:pPr>
      <w:r>
        <w:rPr>
          <w:rFonts w:hint="eastAsia"/>
        </w:rPr>
        <w:t>　　特此声明！</w:t>
      </w:r>
    </w:p>
    <w:p>
      <w:pPr>
        <w:pageBreakBefore w:val="0"/>
        <w:kinsoku/>
        <w:wordWrap/>
        <w:overflowPunct/>
        <w:topLinePunct w:val="0"/>
        <w:bidi w:val="0"/>
        <w:spacing w:line="340" w:lineRule="exact"/>
        <w:rPr>
          <w:rFonts w:hint="eastAsia"/>
        </w:rPr>
      </w:pPr>
      <w:r>
        <w:rPr>
          <w:rFonts w:hint="eastAsia"/>
        </w:rPr>
        <w:t>　　备注：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本声明函必须提供且内容不得擅自删改，否则视为响应无效。</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本声明函如有虚假或与事实不符的，作无效报价处理。</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0" w:leftChars="0" w:firstLine="418" w:firstLineChars="192"/>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0" w:leftChars="0" w:firstLine="403" w:firstLineChars="19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xml:space="preserve">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8"/>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8"/>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8"/>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8"/>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8"/>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8"/>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8"/>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8"/>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8"/>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 xml:space="preserve">广东省河源监狱污水处理站运营托管服务项目 </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18"/>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8"/>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8"/>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2"/>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8"/>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8"/>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8"/>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8"/>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17"/>
        <w:tblW w:w="8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554"/>
        <w:gridCol w:w="1258"/>
        <w:gridCol w:w="252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05" w:hRule="atLeast"/>
          <w:jc w:val="center"/>
        </w:trPr>
        <w:tc>
          <w:tcPr>
            <w:tcW w:w="1736" w:type="dxa"/>
            <w:vAlign w:val="center"/>
          </w:tcPr>
          <w:p>
            <w:pPr>
              <w:pStyle w:val="8"/>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项目名称</w:t>
            </w:r>
          </w:p>
        </w:tc>
        <w:tc>
          <w:tcPr>
            <w:tcW w:w="1554" w:type="dxa"/>
            <w:vAlign w:val="center"/>
          </w:tcPr>
          <w:p>
            <w:pPr>
              <w:pStyle w:val="8"/>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单位</w:t>
            </w:r>
          </w:p>
        </w:tc>
        <w:tc>
          <w:tcPr>
            <w:tcW w:w="1258" w:type="dxa"/>
            <w:vAlign w:val="center"/>
          </w:tcPr>
          <w:p>
            <w:pPr>
              <w:pStyle w:val="8"/>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数量</w:t>
            </w:r>
          </w:p>
        </w:tc>
        <w:tc>
          <w:tcPr>
            <w:tcW w:w="2523" w:type="dxa"/>
            <w:vAlign w:val="center"/>
          </w:tcPr>
          <w:p>
            <w:pPr>
              <w:pStyle w:val="8"/>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统一折扣率报价</w:t>
            </w:r>
          </w:p>
          <w:p>
            <w:pPr>
              <w:pStyle w:val="8"/>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w:t>
            </w:r>
          </w:p>
        </w:tc>
        <w:tc>
          <w:tcPr>
            <w:tcW w:w="1369" w:type="dxa"/>
            <w:vAlign w:val="center"/>
          </w:tcPr>
          <w:p>
            <w:pPr>
              <w:pStyle w:val="8"/>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jc w:val="center"/>
        </w:trPr>
        <w:tc>
          <w:tcPr>
            <w:tcW w:w="1736" w:type="dxa"/>
            <w:vAlign w:val="center"/>
          </w:tcPr>
          <w:p>
            <w:pPr>
              <w:pStyle w:val="8"/>
              <w:pageBreakBefore w:val="0"/>
              <w:kinsoku/>
              <w:wordWrap/>
              <w:overflowPunct/>
              <w:topLinePunct w:val="0"/>
              <w:bidi w:val="0"/>
              <w:spacing w:line="340" w:lineRule="exact"/>
              <w:jc w:val="both"/>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宋体" w:hAnsi="宋体" w:cstheme="minorBidi"/>
                <w:b w:val="0"/>
                <w:bCs/>
                <w:color w:val="auto"/>
                <w:spacing w:val="4"/>
                <w:kern w:val="2"/>
                <w:sz w:val="21"/>
                <w:szCs w:val="21"/>
                <w:u w:val="none"/>
                <w:lang w:val="en-US" w:eastAsia="zh-CN" w:bidi="ar-SA"/>
              </w:rPr>
              <w:t>广东省河源监狱</w:t>
            </w:r>
            <w:r>
              <w:rPr>
                <w:rFonts w:hint="eastAsia" w:hAnsi="宋体" w:cstheme="minorBidi"/>
                <w:b w:val="0"/>
                <w:bCs/>
                <w:color w:val="auto"/>
                <w:spacing w:val="4"/>
                <w:kern w:val="2"/>
                <w:sz w:val="21"/>
                <w:szCs w:val="21"/>
                <w:u w:val="none"/>
                <w:lang w:val="en-US" w:eastAsia="zh-CN" w:bidi="ar-SA"/>
              </w:rPr>
              <w:t>污水处理站运营托管服务</w:t>
            </w:r>
            <w:r>
              <w:rPr>
                <w:rFonts w:hint="eastAsia" w:ascii="宋体" w:hAnsi="宋体" w:cstheme="minorBidi"/>
                <w:b w:val="0"/>
                <w:bCs/>
                <w:color w:val="auto"/>
                <w:spacing w:val="4"/>
                <w:kern w:val="2"/>
                <w:sz w:val="21"/>
                <w:szCs w:val="21"/>
                <w:u w:val="none"/>
                <w:lang w:val="en-US" w:eastAsia="zh-CN" w:bidi="ar-SA"/>
              </w:rPr>
              <w:t>项目</w:t>
            </w:r>
            <w:r>
              <w:rPr>
                <w:rFonts w:hint="eastAsia" w:ascii="宋体" w:hAnsi="宋体" w:eastAsiaTheme="minorEastAsia" w:cstheme="minorBidi"/>
                <w:b w:val="0"/>
                <w:bCs/>
                <w:color w:val="auto"/>
                <w:spacing w:val="4"/>
                <w:kern w:val="2"/>
                <w:sz w:val="21"/>
                <w:szCs w:val="21"/>
                <w:u w:val="none"/>
                <w:lang w:val="en-US" w:eastAsia="zh-CN" w:bidi="ar-SA"/>
              </w:rPr>
              <w:t xml:space="preserve"> </w:t>
            </w:r>
          </w:p>
        </w:tc>
        <w:tc>
          <w:tcPr>
            <w:tcW w:w="1554" w:type="dxa"/>
            <w:vAlign w:val="center"/>
          </w:tcPr>
          <w:p>
            <w:pPr>
              <w:pStyle w:val="8"/>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w:t>
            </w:r>
          </w:p>
        </w:tc>
        <w:tc>
          <w:tcPr>
            <w:tcW w:w="1258" w:type="dxa"/>
            <w:vAlign w:val="center"/>
          </w:tcPr>
          <w:p>
            <w:pPr>
              <w:pStyle w:val="8"/>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1</w:t>
            </w:r>
          </w:p>
        </w:tc>
        <w:tc>
          <w:tcPr>
            <w:tcW w:w="2523" w:type="dxa"/>
            <w:vAlign w:val="center"/>
          </w:tcPr>
          <w:p>
            <w:pPr>
              <w:pStyle w:val="8"/>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8"/>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8"/>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c>
          <w:tcPr>
            <w:tcW w:w="1369" w:type="dxa"/>
            <w:vAlign w:val="center"/>
          </w:tcPr>
          <w:p>
            <w:pPr>
              <w:pStyle w:val="8"/>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r>
    </w:tbl>
    <w:p>
      <w:pPr>
        <w:spacing w:line="360" w:lineRule="auto"/>
        <w:rPr>
          <w:rFonts w:hint="eastAsia" w:ascii="宋体" w:hAnsi="Courier New"/>
          <w:kern w:val="2"/>
          <w:szCs w:val="21"/>
          <w:lang w:val="en-US" w:eastAsia="zh-CN"/>
        </w:rPr>
      </w:pPr>
    </w:p>
    <w:p>
      <w:pPr>
        <w:spacing w:line="360" w:lineRule="auto"/>
        <w:rPr>
          <w:rFonts w:hint="eastAsia" w:ascii="宋体" w:hAnsi="Courier New"/>
          <w:kern w:val="2"/>
          <w:szCs w:val="21"/>
          <w:lang w:val="en-US" w:eastAsia="zh-CN"/>
        </w:rPr>
      </w:pPr>
      <w:r>
        <w:rPr>
          <w:rFonts w:hint="eastAsia" w:ascii="宋体" w:hAnsi="Courier New"/>
          <w:kern w:val="2"/>
          <w:szCs w:val="21"/>
          <w:lang w:val="en-US" w:eastAsia="zh-CN"/>
        </w:rPr>
        <w:t>注：</w:t>
      </w:r>
    </w:p>
    <w:p>
      <w:pPr>
        <w:spacing w:line="360" w:lineRule="auto"/>
        <w:ind w:left="0" w:leftChars="0" w:firstLine="420" w:firstLineChars="200"/>
        <w:rPr>
          <w:rFonts w:ascii="宋体" w:hAnsi="Courier New"/>
          <w:b/>
          <w:bCs/>
          <w:kern w:val="2"/>
          <w:szCs w:val="21"/>
        </w:rPr>
      </w:pPr>
      <w:r>
        <w:rPr>
          <w:rFonts w:hint="eastAsia" w:ascii="宋体" w:hAnsi="Courier New"/>
          <w:kern w:val="2"/>
          <w:szCs w:val="21"/>
        </w:rPr>
        <w:t>1. 供应商依照需求标的预算价格，按照统一折扣率形式进行报价（签订合同价格精确到分），所报折扣率须为固定唯一值（如八折，则以80%表示），0＜统一折扣率≤100.0%</w:t>
      </w:r>
      <w:r>
        <w:rPr>
          <w:rFonts w:hint="eastAsia" w:asciiTheme="minorEastAsia" w:hAnsiTheme="minorEastAsia" w:eastAsiaTheme="minorEastAsia" w:cstheme="minorEastAsia"/>
          <w:b w:val="0"/>
          <w:bCs/>
          <w:color w:val="auto"/>
          <w:sz w:val="21"/>
          <w:szCs w:val="21"/>
        </w:rPr>
        <w:t>，所报的</w:t>
      </w:r>
      <w:r>
        <w:rPr>
          <w:rFonts w:hint="eastAsia" w:asciiTheme="minorEastAsia" w:hAnsiTheme="minorEastAsia" w:cstheme="minorEastAsia"/>
          <w:b w:val="0"/>
          <w:bCs/>
          <w:color w:val="auto"/>
          <w:sz w:val="21"/>
          <w:szCs w:val="21"/>
          <w:lang w:val="en-US" w:eastAsia="zh-CN"/>
        </w:rPr>
        <w:t>折扣</w:t>
      </w:r>
      <w:r>
        <w:rPr>
          <w:rFonts w:hint="eastAsia" w:asciiTheme="minorEastAsia" w:hAnsiTheme="minorEastAsia" w:eastAsiaTheme="minorEastAsia" w:cstheme="minorEastAsia"/>
          <w:b w:val="0"/>
          <w:bCs/>
          <w:color w:val="auto"/>
          <w:sz w:val="21"/>
          <w:szCs w:val="21"/>
        </w:rPr>
        <w:t>率适用</w:t>
      </w:r>
      <w:r>
        <w:rPr>
          <w:rFonts w:hint="eastAsia" w:asciiTheme="minorEastAsia" w:hAnsiTheme="minorEastAsia" w:cstheme="minorEastAsia"/>
          <w:b w:val="0"/>
          <w:bCs/>
          <w:color w:val="auto"/>
          <w:sz w:val="21"/>
          <w:szCs w:val="21"/>
          <w:lang w:val="en-US" w:eastAsia="zh-CN"/>
        </w:rPr>
        <w:t>采购清单</w:t>
      </w:r>
      <w:r>
        <w:rPr>
          <w:rFonts w:hint="eastAsia" w:asciiTheme="minorEastAsia" w:hAnsiTheme="minorEastAsia" w:eastAsiaTheme="minorEastAsia" w:cstheme="minorEastAsia"/>
          <w:b w:val="0"/>
          <w:bCs/>
          <w:color w:val="auto"/>
          <w:sz w:val="21"/>
          <w:szCs w:val="21"/>
        </w:rPr>
        <w:t>所有</w:t>
      </w:r>
      <w:r>
        <w:rPr>
          <w:rFonts w:hint="eastAsia" w:asciiTheme="minorEastAsia" w:hAnsiTheme="minorEastAsia" w:cstheme="minorEastAsia"/>
          <w:b w:val="0"/>
          <w:bCs/>
          <w:color w:val="auto"/>
          <w:sz w:val="21"/>
          <w:szCs w:val="21"/>
          <w:lang w:val="en-US" w:eastAsia="zh-CN"/>
        </w:rPr>
        <w:t>商品</w:t>
      </w:r>
      <w:r>
        <w:rPr>
          <w:rFonts w:hint="eastAsia" w:ascii="宋体" w:hAnsi="Courier New"/>
          <w:kern w:val="2"/>
          <w:szCs w:val="21"/>
        </w:rPr>
        <w:t>。</w:t>
      </w:r>
      <w:r>
        <w:rPr>
          <w:rFonts w:hint="eastAsia" w:ascii="宋体" w:hAnsi="Courier New"/>
          <w:b/>
          <w:bCs/>
          <w:kern w:val="2"/>
          <w:szCs w:val="21"/>
        </w:rPr>
        <w:t>结算价=</w:t>
      </w:r>
      <w:r>
        <w:rPr>
          <w:rFonts w:hint="eastAsia" w:ascii="宋体" w:hAnsi="Courier New"/>
          <w:b/>
          <w:bCs/>
          <w:kern w:val="2"/>
          <w:szCs w:val="21"/>
          <w:lang w:val="en-US" w:eastAsia="zh-CN"/>
        </w:rPr>
        <w:t>服务清单</w:t>
      </w:r>
      <w:r>
        <w:rPr>
          <w:rFonts w:hint="eastAsia" w:ascii="宋体" w:hAnsi="Courier New"/>
          <w:b/>
          <w:bCs/>
          <w:kern w:val="2"/>
          <w:szCs w:val="21"/>
        </w:rPr>
        <w:t>单价</w:t>
      </w:r>
      <w:r>
        <w:rPr>
          <w:rFonts w:hint="eastAsia" w:ascii="宋体" w:hAnsi="Courier New"/>
          <w:b/>
          <w:bCs/>
          <w:kern w:val="2"/>
          <w:szCs w:val="21"/>
          <w:lang w:val="en-US" w:eastAsia="zh-CN"/>
        </w:rPr>
        <w:t>最高</w:t>
      </w:r>
      <w:r>
        <w:rPr>
          <w:rFonts w:hint="eastAsia" w:ascii="宋体" w:hAnsi="Courier New"/>
          <w:b/>
          <w:bCs/>
          <w:kern w:val="2"/>
          <w:szCs w:val="21"/>
        </w:rPr>
        <w:t>限价*统一折扣率（四舍五入保留到小数点后二位）。</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atLeast"/>
        <w:ind w:left="0" w:leftChars="0" w:firstLine="418" w:firstLineChars="192"/>
        <w:jc w:val="left"/>
        <w:textAlignment w:val="auto"/>
        <w:rPr>
          <w:rFonts w:ascii="宋体" w:hAnsi="宋体"/>
          <w:b w:val="0"/>
          <w:bCs/>
          <w:color w:val="auto"/>
          <w:sz w:val="21"/>
          <w:szCs w:val="21"/>
          <w:u w:val="none"/>
        </w:rPr>
      </w:pPr>
      <w:r>
        <w:rPr>
          <w:rFonts w:hint="eastAsia" w:ascii="宋体" w:hAnsi="宋体"/>
          <w:b w:val="0"/>
          <w:bCs/>
          <w:color w:val="auto"/>
          <w:spacing w:val="4"/>
          <w:sz w:val="21"/>
          <w:szCs w:val="21"/>
          <w:u w:val="none"/>
          <w:lang w:val="en-US" w:eastAsia="zh-CN"/>
        </w:rPr>
        <w:t>2.供</w:t>
      </w:r>
      <w:r>
        <w:rPr>
          <w:rFonts w:hint="eastAsia" w:ascii="宋体" w:hAnsi="宋体"/>
          <w:b w:val="0"/>
          <w:bCs/>
          <w:color w:val="auto"/>
          <w:spacing w:val="4"/>
          <w:sz w:val="21"/>
          <w:szCs w:val="21"/>
          <w:u w:val="none"/>
        </w:rPr>
        <w:t>应商必须按报价表的格式填写，不得增加或删除表格内容。除单价、金额或项目要求填写的内容外，不得擅自改动报价表内容，否则将有可能影响成交结果，不推荐为成交候选人；</w:t>
      </w:r>
    </w:p>
    <w:p>
      <w:pPr>
        <w:pStyle w:val="13"/>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b w:val="0"/>
          <w:bCs/>
          <w:color w:val="auto"/>
          <w:sz w:val="21"/>
          <w:szCs w:val="21"/>
          <w:u w:val="none"/>
          <w:lang w:val="en-US" w:eastAsia="zh-CN"/>
        </w:rPr>
      </w:pPr>
      <w:r>
        <w:rPr>
          <w:rFonts w:hint="eastAsia" w:asciiTheme="minorEastAsia" w:hAnsiTheme="minorEastAsia"/>
          <w:b w:val="0"/>
          <w:bCs/>
          <w:color w:val="auto"/>
          <w:sz w:val="21"/>
          <w:szCs w:val="21"/>
          <w:highlight w:val="none"/>
          <w:u w:val="none"/>
          <w:lang w:val="en-US" w:eastAsia="zh-CN"/>
        </w:rPr>
        <w:t>3.</w:t>
      </w:r>
      <w:r>
        <w:rPr>
          <w:rFonts w:hint="eastAsia" w:asciiTheme="minorEastAsia" w:hAnsiTheme="minorEastAsia" w:eastAsiaTheme="minorEastAsia"/>
          <w:b w:val="0"/>
          <w:bCs/>
          <w:color w:val="auto"/>
          <w:sz w:val="21"/>
          <w:szCs w:val="21"/>
          <w:u w:val="none"/>
        </w:rPr>
        <w:t>所有价格均系用人民币表示，单位为元，均</w:t>
      </w:r>
      <w:r>
        <w:rPr>
          <w:rFonts w:hint="eastAsia" w:ascii="宋体" w:hAnsi="宋体"/>
          <w:b w:val="0"/>
          <w:bCs/>
          <w:spacing w:val="4"/>
          <w:sz w:val="21"/>
          <w:szCs w:val="21"/>
          <w:u w:val="none"/>
        </w:rPr>
        <w:t>包含</w:t>
      </w:r>
      <w:r>
        <w:rPr>
          <w:rFonts w:hint="eastAsia" w:ascii="宋体" w:hAnsi="宋体"/>
          <w:b w:val="0"/>
          <w:bCs/>
          <w:spacing w:val="4"/>
          <w:sz w:val="21"/>
          <w:szCs w:val="21"/>
          <w:u w:val="none"/>
          <w:lang w:val="en-US" w:eastAsia="zh-CN"/>
        </w:rPr>
        <w:t>人工、药剂费、检测费、污泥清运费、</w:t>
      </w:r>
      <w:r>
        <w:rPr>
          <w:rFonts w:hint="eastAsia" w:ascii="宋体" w:hAnsi="宋体"/>
          <w:b w:val="0"/>
          <w:bCs/>
          <w:spacing w:val="4"/>
          <w:sz w:val="21"/>
          <w:szCs w:val="21"/>
          <w:u w:val="none"/>
        </w:rPr>
        <w:t>税金等一切费用</w:t>
      </w:r>
      <w:r>
        <w:rPr>
          <w:rFonts w:hint="eastAsia" w:ascii="宋体" w:hAnsi="宋体"/>
          <w:b w:val="0"/>
          <w:bCs/>
          <w:spacing w:val="4"/>
          <w:sz w:val="21"/>
          <w:szCs w:val="21"/>
          <w:u w:val="none"/>
          <w:lang w:val="en-US" w:eastAsia="zh-CN"/>
        </w:rPr>
        <w:t>；</w:t>
      </w:r>
    </w:p>
    <w:p>
      <w:pPr>
        <w:pStyle w:val="13"/>
        <w:numPr>
          <w:ilvl w:val="0"/>
          <w:numId w:val="0"/>
        </w:numPr>
        <w:shd w:val="clear" w:color="auto" w:fill="FFFFFF"/>
        <w:spacing w:before="0" w:beforeAutospacing="0" w:after="0" w:afterAutospacing="0" w:line="276" w:lineRule="auto"/>
        <w:ind w:left="0" w:leftChars="0" w:firstLine="480" w:firstLineChars="200"/>
        <w:rPr>
          <w:rFonts w:hint="eastAsia" w:ascii="宋体" w:hAnsi="宋体" w:cs="宋体"/>
          <w:szCs w:val="21"/>
        </w:rPr>
      </w:pPr>
      <w:r>
        <w:rPr>
          <w:rFonts w:hint="eastAsia" w:ascii="宋体" w:hAnsi="Courier New"/>
          <w:kern w:val="2"/>
          <w:szCs w:val="21"/>
          <w:lang w:val="en-US" w:eastAsia="zh-CN"/>
        </w:rPr>
        <w:t>4</w:t>
      </w:r>
      <w:r>
        <w:rPr>
          <w:rFonts w:hint="eastAsia" w:ascii="宋体" w:hAnsi="Courier New"/>
          <w:kern w:val="2"/>
          <w:szCs w:val="21"/>
        </w:rPr>
        <w:t>.</w:t>
      </w:r>
      <w:r>
        <w:rPr>
          <w:rFonts w:hint="eastAsia" w:ascii="宋体" w:hAnsi="宋体" w:cs="宋体"/>
          <w:szCs w:val="21"/>
        </w:rPr>
        <w:t>供应商报价表必须加盖公章，否则将按无效报价处理。</w:t>
      </w:r>
    </w:p>
    <w:p>
      <w:pPr>
        <w:pStyle w:val="13"/>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cstheme="minorEastAsia"/>
          <w:b w:val="0"/>
          <w:bCs/>
          <w:color w:val="auto"/>
          <w:sz w:val="21"/>
          <w:szCs w:val="21"/>
          <w:lang w:eastAsia="zh-CN"/>
        </w:rPr>
      </w:pPr>
    </w:p>
    <w:p>
      <w:pPr>
        <w:pStyle w:val="18"/>
        <w:rPr>
          <w:rFonts w:hint="eastAsia"/>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bookmarkStart w:id="0" w:name="_GoBack"/>
      <w:bookmarkEnd w:id="0"/>
    </w:p>
    <w:sectPr>
      <w:footerReference r:id="rId4"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6460"/>
    <w:multiLevelType w:val="singleLevel"/>
    <w:tmpl w:val="11336460"/>
    <w:lvl w:ilvl="0" w:tentative="0">
      <w:start w:val="1"/>
      <w:numFmt w:val="chineseCounting"/>
      <w:suff w:val="space"/>
      <w:lvlText w:val="第%1章"/>
      <w:lvlJc w:val="left"/>
      <w:rPr>
        <w:rFonts w:hint="eastAsia"/>
      </w:rPr>
    </w:lvl>
  </w:abstractNum>
  <w:abstractNum w:abstractNumId="1">
    <w:nsid w:val="36A5433C"/>
    <w:multiLevelType w:val="singleLevel"/>
    <w:tmpl w:val="36A5433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E21113"/>
    <w:rsid w:val="00EE48ED"/>
    <w:rsid w:val="0155715C"/>
    <w:rsid w:val="01C728D0"/>
    <w:rsid w:val="023B0759"/>
    <w:rsid w:val="02D018B9"/>
    <w:rsid w:val="03356B49"/>
    <w:rsid w:val="036B2B2F"/>
    <w:rsid w:val="049E4705"/>
    <w:rsid w:val="04C27B6C"/>
    <w:rsid w:val="05601E08"/>
    <w:rsid w:val="059E75AD"/>
    <w:rsid w:val="073B0AB9"/>
    <w:rsid w:val="07A40D36"/>
    <w:rsid w:val="08A44419"/>
    <w:rsid w:val="08F6786C"/>
    <w:rsid w:val="093E72D7"/>
    <w:rsid w:val="0B3A43D4"/>
    <w:rsid w:val="0B3C2B55"/>
    <w:rsid w:val="0BC5664A"/>
    <w:rsid w:val="0BDA4A8E"/>
    <w:rsid w:val="0C373B85"/>
    <w:rsid w:val="0CAD59F1"/>
    <w:rsid w:val="0D226E45"/>
    <w:rsid w:val="0D934A87"/>
    <w:rsid w:val="0EE45AD9"/>
    <w:rsid w:val="0F156CFF"/>
    <w:rsid w:val="0F1B3E67"/>
    <w:rsid w:val="0FBE7AA3"/>
    <w:rsid w:val="10662DEA"/>
    <w:rsid w:val="111C40EB"/>
    <w:rsid w:val="11B25927"/>
    <w:rsid w:val="12003CF0"/>
    <w:rsid w:val="1397165D"/>
    <w:rsid w:val="14E873D2"/>
    <w:rsid w:val="14F77FDF"/>
    <w:rsid w:val="16737FD7"/>
    <w:rsid w:val="16F50701"/>
    <w:rsid w:val="186D7D0F"/>
    <w:rsid w:val="18AF3165"/>
    <w:rsid w:val="19283431"/>
    <w:rsid w:val="19560F86"/>
    <w:rsid w:val="19C1544E"/>
    <w:rsid w:val="19DA1D52"/>
    <w:rsid w:val="1A43221D"/>
    <w:rsid w:val="1B34727B"/>
    <w:rsid w:val="1BFA5FCE"/>
    <w:rsid w:val="1CFC717C"/>
    <w:rsid w:val="1E651D7F"/>
    <w:rsid w:val="1E676ED5"/>
    <w:rsid w:val="20947A18"/>
    <w:rsid w:val="2188519A"/>
    <w:rsid w:val="21A03B8D"/>
    <w:rsid w:val="21A3268F"/>
    <w:rsid w:val="21C36F1F"/>
    <w:rsid w:val="21F7526F"/>
    <w:rsid w:val="243D602E"/>
    <w:rsid w:val="25454630"/>
    <w:rsid w:val="255C570C"/>
    <w:rsid w:val="25E67716"/>
    <w:rsid w:val="264F26CE"/>
    <w:rsid w:val="265E0F6A"/>
    <w:rsid w:val="28A27EE1"/>
    <w:rsid w:val="28DC7708"/>
    <w:rsid w:val="2A7A10F3"/>
    <w:rsid w:val="2AA661B2"/>
    <w:rsid w:val="2B675DBA"/>
    <w:rsid w:val="2BEA663B"/>
    <w:rsid w:val="2C627AC8"/>
    <w:rsid w:val="2CBB611B"/>
    <w:rsid w:val="2D7B5115"/>
    <w:rsid w:val="2DBC2E0A"/>
    <w:rsid w:val="2F2F0429"/>
    <w:rsid w:val="2F5853CC"/>
    <w:rsid w:val="2F666E25"/>
    <w:rsid w:val="2F7941FC"/>
    <w:rsid w:val="2FB478F7"/>
    <w:rsid w:val="2FC95D81"/>
    <w:rsid w:val="2FD31BD9"/>
    <w:rsid w:val="303B299D"/>
    <w:rsid w:val="304C19DB"/>
    <w:rsid w:val="31006CD9"/>
    <w:rsid w:val="31041AAE"/>
    <w:rsid w:val="310606C6"/>
    <w:rsid w:val="318656D8"/>
    <w:rsid w:val="34364FAB"/>
    <w:rsid w:val="37B54E1D"/>
    <w:rsid w:val="37B81BEC"/>
    <w:rsid w:val="38030316"/>
    <w:rsid w:val="38787AEA"/>
    <w:rsid w:val="38F92A66"/>
    <w:rsid w:val="3A8676EF"/>
    <w:rsid w:val="3B0E690B"/>
    <w:rsid w:val="3C7008F2"/>
    <w:rsid w:val="3D7D6029"/>
    <w:rsid w:val="3DC84A9A"/>
    <w:rsid w:val="3DFE6052"/>
    <w:rsid w:val="3E216BC0"/>
    <w:rsid w:val="3EF24ED3"/>
    <w:rsid w:val="3FB21705"/>
    <w:rsid w:val="3FE77A82"/>
    <w:rsid w:val="3FFB5595"/>
    <w:rsid w:val="4017186C"/>
    <w:rsid w:val="40E1788E"/>
    <w:rsid w:val="412B3BD0"/>
    <w:rsid w:val="41711287"/>
    <w:rsid w:val="435726A3"/>
    <w:rsid w:val="43F7549F"/>
    <w:rsid w:val="44074471"/>
    <w:rsid w:val="468E2CEF"/>
    <w:rsid w:val="46915076"/>
    <w:rsid w:val="47007902"/>
    <w:rsid w:val="477A6ABF"/>
    <w:rsid w:val="48C41C3A"/>
    <w:rsid w:val="4A7F5F33"/>
    <w:rsid w:val="4AB27069"/>
    <w:rsid w:val="4AE15F12"/>
    <w:rsid w:val="4B1B2583"/>
    <w:rsid w:val="4B215EC8"/>
    <w:rsid w:val="4C7B4010"/>
    <w:rsid w:val="4D4A51B9"/>
    <w:rsid w:val="4E115DEF"/>
    <w:rsid w:val="4E306D68"/>
    <w:rsid w:val="4EB20057"/>
    <w:rsid w:val="4F3E14BF"/>
    <w:rsid w:val="4FB67A4E"/>
    <w:rsid w:val="4FDA352F"/>
    <w:rsid w:val="50D85556"/>
    <w:rsid w:val="515E7A70"/>
    <w:rsid w:val="517B4F66"/>
    <w:rsid w:val="51CF4C93"/>
    <w:rsid w:val="5209190E"/>
    <w:rsid w:val="52961311"/>
    <w:rsid w:val="53B264F4"/>
    <w:rsid w:val="54117BA3"/>
    <w:rsid w:val="54415A83"/>
    <w:rsid w:val="54561298"/>
    <w:rsid w:val="54B57A63"/>
    <w:rsid w:val="577B5528"/>
    <w:rsid w:val="57FC275F"/>
    <w:rsid w:val="587B3035"/>
    <w:rsid w:val="59F138CC"/>
    <w:rsid w:val="5A3A7FF0"/>
    <w:rsid w:val="5ACF512A"/>
    <w:rsid w:val="5ADD201B"/>
    <w:rsid w:val="5B460243"/>
    <w:rsid w:val="5B4A21F6"/>
    <w:rsid w:val="5BE666FD"/>
    <w:rsid w:val="5DE8013D"/>
    <w:rsid w:val="5EB66D4F"/>
    <w:rsid w:val="5F7F08F6"/>
    <w:rsid w:val="601F6302"/>
    <w:rsid w:val="619F122B"/>
    <w:rsid w:val="61BA712C"/>
    <w:rsid w:val="6212502F"/>
    <w:rsid w:val="63257394"/>
    <w:rsid w:val="63B9340E"/>
    <w:rsid w:val="63F37A6E"/>
    <w:rsid w:val="6455458D"/>
    <w:rsid w:val="64A413FD"/>
    <w:rsid w:val="670443C7"/>
    <w:rsid w:val="678341C5"/>
    <w:rsid w:val="691C4782"/>
    <w:rsid w:val="692C1847"/>
    <w:rsid w:val="698F20E1"/>
    <w:rsid w:val="69B26CE3"/>
    <w:rsid w:val="69C06968"/>
    <w:rsid w:val="69CB1013"/>
    <w:rsid w:val="6BC46931"/>
    <w:rsid w:val="6D0D7448"/>
    <w:rsid w:val="6E114025"/>
    <w:rsid w:val="6E3C39C3"/>
    <w:rsid w:val="6F3D2C05"/>
    <w:rsid w:val="6FC846B0"/>
    <w:rsid w:val="70391CB1"/>
    <w:rsid w:val="71AD6345"/>
    <w:rsid w:val="71BF53D6"/>
    <w:rsid w:val="71ED654D"/>
    <w:rsid w:val="720C154E"/>
    <w:rsid w:val="72150491"/>
    <w:rsid w:val="72F025FA"/>
    <w:rsid w:val="735340BF"/>
    <w:rsid w:val="73656151"/>
    <w:rsid w:val="745449E5"/>
    <w:rsid w:val="74747C07"/>
    <w:rsid w:val="74FC0165"/>
    <w:rsid w:val="75090420"/>
    <w:rsid w:val="762A42EA"/>
    <w:rsid w:val="77192436"/>
    <w:rsid w:val="77350F71"/>
    <w:rsid w:val="7745190F"/>
    <w:rsid w:val="775E2450"/>
    <w:rsid w:val="77FF0EFA"/>
    <w:rsid w:val="793C5B9D"/>
    <w:rsid w:val="7BFF665F"/>
    <w:rsid w:val="7D2202C4"/>
    <w:rsid w:val="7E1B7B2A"/>
    <w:rsid w:val="7EC040B2"/>
    <w:rsid w:val="7F312660"/>
    <w:rsid w:val="7F7B650B"/>
    <w:rsid w:val="7F88599B"/>
    <w:rsid w:val="7FAD3488"/>
    <w:rsid w:val="7FF9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Body Text"/>
    <w:basedOn w:val="1"/>
    <w:qFormat/>
    <w:uiPriority w:val="0"/>
    <w:pPr>
      <w:tabs>
        <w:tab w:val="left" w:pos="562"/>
        <w:tab w:val="left" w:pos="3372"/>
        <w:tab w:val="left" w:pos="3653"/>
      </w:tabs>
    </w:pPr>
    <w:rPr>
      <w:sz w:val="24"/>
    </w:rPr>
  </w:style>
  <w:style w:type="paragraph" w:styleId="6">
    <w:name w:val="Body Text Indent"/>
    <w:basedOn w:val="1"/>
    <w:next w:val="7"/>
    <w:qFormat/>
    <w:uiPriority w:val="0"/>
    <w:pPr>
      <w:ind w:left="420"/>
    </w:pPr>
  </w:style>
  <w:style w:type="paragraph" w:styleId="7">
    <w:name w:val="envelope return"/>
    <w:basedOn w:val="1"/>
    <w:qFormat/>
    <w:uiPriority w:val="0"/>
    <w:pPr>
      <w:autoSpaceDE/>
      <w:autoSpaceDN/>
      <w:adjustRightInd/>
      <w:snapToGrid w:val="0"/>
      <w:jc w:val="both"/>
    </w:pPr>
    <w:rPr>
      <w:rFonts w:ascii="Arial" w:hAnsi="Arial" w:cs="Arial"/>
      <w:kern w:val="2"/>
      <w:sz w:val="21"/>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6"/>
    <w:qFormat/>
    <w:uiPriority w:val="0"/>
    <w:pPr>
      <w:widowControl/>
      <w:spacing w:after="120"/>
      <w:ind w:leftChars="200" w:firstLine="420" w:firstLineChars="200"/>
      <w:jc w:val="left"/>
    </w:pPr>
    <w:rPr>
      <w:rFonts w:ascii="Times New Roman" w:hAnsi="Times New Roman"/>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spacing w:before="120" w:after="120"/>
      <w:jc w:val="center"/>
    </w:pPr>
    <w:rPr>
      <w:b/>
      <w:bCs/>
      <w:caps/>
      <w:sz w:val="28"/>
      <w:szCs w:val="28"/>
    </w:rPr>
  </w:style>
  <w:style w:type="paragraph" w:styleId="13">
    <w:name w:val="Normal (Web)"/>
    <w:basedOn w:val="1"/>
    <w:qFormat/>
    <w:uiPriority w:val="0"/>
    <w:rPr>
      <w:sz w:val="24"/>
    </w:rPr>
  </w:style>
  <w:style w:type="character" w:styleId="15">
    <w:name w:val="Hyperlink"/>
    <w:qFormat/>
    <w:uiPriority w:val="99"/>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_Style 3"/>
    <w:basedOn w:val="1"/>
    <w:qFormat/>
    <w:uiPriority w:val="0"/>
    <w:pPr>
      <w:ind w:firstLine="420" w:firstLineChars="200"/>
    </w:pPr>
    <w:rPr>
      <w:sz w:val="20"/>
    </w:rPr>
  </w:style>
  <w:style w:type="paragraph" w:customStyle="1" w:styleId="19">
    <w:name w:val="List Paragraph"/>
    <w:basedOn w:val="1"/>
    <w:qFormat/>
    <w:uiPriority w:val="34"/>
    <w:pPr>
      <w:ind w:firstLine="420" w:firstLineChars="200"/>
    </w:pPr>
  </w:style>
  <w:style w:type="paragraph" w:customStyle="1" w:styleId="20">
    <w:name w:val="列出段落1"/>
    <w:basedOn w:val="1"/>
    <w:qFormat/>
    <w:uiPriority w:val="34"/>
    <w:pPr>
      <w:ind w:firstLine="420" w:firstLineChars="200"/>
    </w:pPr>
  </w:style>
  <w:style w:type="paragraph" w:customStyle="1" w:styleId="21">
    <w:name w:val="保留正文"/>
    <w:basedOn w:val="5"/>
    <w:qFormat/>
    <w:uiPriority w:val="0"/>
    <w:pPr>
      <w:keepNext/>
      <w:spacing w:after="160"/>
    </w:pPr>
    <w:rPr>
      <w:sz w:val="21"/>
    </w:rPr>
  </w:style>
  <w:style w:type="character" w:customStyle="1" w:styleId="22">
    <w:name w:val="NormalCharacter"/>
    <w:semiHidden/>
    <w:qFormat/>
    <w:uiPriority w:val="99"/>
  </w:style>
  <w:style w:type="paragraph" w:customStyle="1" w:styleId="23">
    <w:name w:val="正文正"/>
    <w:basedOn w:val="1"/>
    <w:qFormat/>
    <w:uiPriority w:val="0"/>
    <w:pPr>
      <w:spacing w:line="560" w:lineRule="exact"/>
      <w:ind w:firstLine="561"/>
    </w:pPr>
    <w:rPr>
      <w:rFonts w:eastAsia="仿宋_GB2312"/>
      <w:sz w:val="28"/>
      <w:szCs w:val="24"/>
    </w:rPr>
  </w:style>
  <w:style w:type="paragraph" w:customStyle="1" w:styleId="24">
    <w:name w:val="表格文字"/>
    <w:basedOn w:val="1"/>
    <w:qFormat/>
    <w:uiPriority w:val="0"/>
    <w:pPr>
      <w:spacing w:before="25" w:after="25"/>
      <w:jc w:val="left"/>
    </w:pPr>
    <w:rPr>
      <w:bCs/>
      <w:spacing w:val="10"/>
      <w:kern w:val="0"/>
      <w:szCs w:val="20"/>
    </w:rPr>
  </w:style>
  <w:style w:type="character" w:customStyle="1" w:styleId="25">
    <w:name w:val="10"/>
    <w:basedOn w:val="1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6</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2022-06-28T07:19:00Z</cp:lastPrinted>
  <dcterms:modified xsi:type="dcterms:W3CDTF">2025-02-10T01:06:48Z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