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eastAsia" w:asciiTheme="majorEastAsia" w:hAnsiTheme="majorEastAsia" w:eastAsiaTheme="majorEastAsia" w:cstheme="majorEastAsia"/>
          <w:sz w:val="32"/>
          <w:szCs w:val="32"/>
          <w:u w:val="single"/>
          <w:lang w:val="en-US" w:eastAsia="zh-CN"/>
        </w:rPr>
      </w:pPr>
      <w:r>
        <w:rPr>
          <w:rFonts w:hint="eastAsia"/>
          <w:sz w:val="32"/>
          <w:szCs w:val="32"/>
          <w:lang w:val="en-US" w:eastAsia="zh-CN"/>
        </w:rPr>
        <w:t>项目编号：</w:t>
      </w:r>
      <w:r>
        <w:rPr>
          <w:rFonts w:hint="eastAsia" w:asciiTheme="majorEastAsia" w:hAnsiTheme="majorEastAsia" w:eastAsiaTheme="majorEastAsia" w:cstheme="majorEastAsia"/>
          <w:sz w:val="32"/>
          <w:szCs w:val="32"/>
          <w:u w:val="single"/>
          <w:lang w:val="en-US" w:eastAsia="zh-CN"/>
        </w:rPr>
        <w:t xml:space="preserve"> 2025004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u w:val="none"/>
        </w:rPr>
        <w:t>项</w:t>
      </w:r>
      <w:r>
        <w:rPr>
          <w:rFonts w:hint="eastAsia" w:asciiTheme="minorEastAsia" w:hAnsiTheme="minorEastAsia" w:eastAsiaTheme="minorEastAsia" w:cstheme="minorEastAsia"/>
          <w:sz w:val="32"/>
          <w:szCs w:val="32"/>
          <w:u w:val="none"/>
          <w:lang w:val="en-US" w:eastAsia="zh-CN"/>
        </w:rPr>
        <w:t>目名称：</w:t>
      </w:r>
      <w:r>
        <w:rPr>
          <w:rFonts w:hint="eastAsia" w:asciiTheme="minorEastAsia" w:hAnsiTheme="minorEastAsia" w:cstheme="minorEastAsia"/>
          <w:sz w:val="32"/>
          <w:szCs w:val="32"/>
          <w:u w:val="single"/>
          <w:lang w:val="en-US" w:eastAsia="zh-CN"/>
        </w:rPr>
        <w:t>广东省河源监狱跨网文件交换安全管理系统建设项目（重招）</w:t>
      </w:r>
      <w:r>
        <w:rPr>
          <w:rFonts w:hint="eastAsia" w:asciiTheme="minorEastAsia" w:hAnsiTheme="minorEastAsia" w:eastAsiaTheme="minorEastAsia" w:cstheme="minorEastAsia"/>
          <w:sz w:val="32"/>
          <w:szCs w:val="32"/>
          <w:u w:val="single"/>
          <w:lang w:val="en-US" w:eastAsia="zh-CN"/>
        </w:rPr>
        <w:t xml:space="preserve">  </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sz w:val="32"/>
          <w:szCs w:val="32"/>
        </w:rPr>
        <w:t>采购方式：</w:t>
      </w:r>
      <w:r>
        <w:rPr>
          <w:rFonts w:hint="eastAsia" w:asciiTheme="minorEastAsia" w:hAnsiTheme="minorEastAsia" w:eastAsiaTheme="minorEastAsia" w:cstheme="minorEastAsia"/>
          <w:sz w:val="32"/>
          <w:szCs w:val="32"/>
          <w:u w:val="single"/>
          <w:lang w:val="en-US" w:eastAsia="zh-CN"/>
        </w:rPr>
        <w:t xml:space="preserve">  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1"/>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HAnsi" w:hAnsiTheme="minorHAnsi" w:eastAsiaTheme="minorEastAsia" w:cstheme="minorBidi"/>
          <w:b w:val="0"/>
          <w:bCs w:val="0"/>
          <w:caps w:val="0"/>
          <w:kern w:val="2"/>
          <w:sz w:val="32"/>
          <w:szCs w:val="32"/>
          <w:lang w:val="en-US" w:eastAsia="zh-CN" w:bidi="ar-SA"/>
        </w:rPr>
      </w:pPr>
      <w:r>
        <w:rPr>
          <w:rFonts w:hint="eastAsia" w:asciiTheme="minorHAnsi" w:hAnsiTheme="minorHAnsi" w:eastAsiaTheme="minorEastAsia" w:cstheme="minorBidi"/>
          <w:b w:val="0"/>
          <w:bCs w:val="0"/>
          <w:caps w:val="0"/>
          <w:kern w:val="2"/>
          <w:sz w:val="32"/>
          <w:szCs w:val="32"/>
          <w:lang w:val="en-US" w:eastAsia="zh-CN" w:bidi="ar-SA"/>
        </w:rPr>
        <w:t>2025年2月</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1"/>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eastAsiaTheme="minorEastAsia" w:cstheme="minorEastAsia"/>
          <w:sz w:val="21"/>
          <w:szCs w:val="21"/>
          <w:lang w:eastAsia="zh-CN"/>
        </w:rPr>
        <w:t>比价</w:t>
      </w:r>
      <w:r>
        <w:rPr>
          <w:rFonts w:hint="eastAsia" w:asciiTheme="minorEastAsia" w:hAnsiTheme="minorEastAsia" w:eastAsiaTheme="minorEastAsia" w:cstheme="minorEastAsia"/>
          <w:sz w:val="21"/>
          <w:szCs w:val="21"/>
        </w:rPr>
        <w:t>文件资料承担责任。</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家，投标报价最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比价文件中，如标有“★”的条款均为必须完全满足指标，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Style w:val="26"/>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（六）供应商法定代表人或授权委托人出席市场比价活动时，未按要求出示授权委托书原件或本人身份证原件确认/电子身份证确认的；</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eastAsiaTheme="minorEastAsia"/>
          <w:lang w:val="en-US" w:eastAsia="zh-CN"/>
        </w:rPr>
      </w:pPr>
      <w:r>
        <w:rPr>
          <w:rFonts w:hint="eastAsia"/>
          <w:lang w:eastAsia="zh-CN"/>
        </w:rPr>
        <w:t>（</w:t>
      </w:r>
      <w:r>
        <w:rPr>
          <w:rFonts w:hint="eastAsia"/>
          <w:lang w:val="en-US" w:eastAsia="zh-CN"/>
        </w:rPr>
        <w:t>七</w:t>
      </w:r>
      <w:r>
        <w:rPr>
          <w:rFonts w:hint="eastAsia"/>
          <w:lang w:eastAsia="zh-CN"/>
        </w:rPr>
        <w:t>）</w:t>
      </w:r>
      <w:r>
        <w:rPr>
          <w:rFonts w:hint="eastAsia"/>
        </w:rPr>
        <w:t>按有关法律、法规、规章属于报价无效的</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eastAsia="zh-CN"/>
        </w:rPr>
        <w:t>（</w:t>
      </w:r>
      <w:r>
        <w:rPr>
          <w:rFonts w:hint="eastAsia"/>
          <w:lang w:val="en-US" w:eastAsia="zh-CN"/>
        </w:rPr>
        <w:t>八</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2.</w:t>
      </w:r>
      <w:r>
        <w:rPr>
          <w:rFonts w:hint="eastAsia"/>
        </w:rPr>
        <w:t>不同供应商的响应文件由同一单位或者个人编制；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4.</w:t>
      </w:r>
      <w:r>
        <w:rPr>
          <w:rFonts w:hint="eastAsia"/>
        </w:rPr>
        <w:t>不同供应商的响应文件载明的项目管理成员或者联系人员为同一人；</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5.</w:t>
      </w:r>
      <w:r>
        <w:rPr>
          <w:rFonts w:hint="eastAsia"/>
        </w:rPr>
        <w:t>不同供应商的响应文件异常一致或者报价呈规律性差异；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rPr>
        <w:t>因重大变故，采购任务取消的</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（三）响应供应商少于3家的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keepNext w:val="0"/>
        <w:keepLines w:val="0"/>
        <w:pageBreakBefore w:val="0"/>
        <w:numPr>
          <w:ilvl w:val="0"/>
          <w:numId w:val="1"/>
        </w:numPr>
        <w:kinsoku/>
        <w:wordWrap/>
        <w:overflowPunct/>
        <w:topLinePunct w:val="0"/>
        <w:autoSpaceDE/>
        <w:autoSpaceDN/>
        <w:bidi w:val="0"/>
        <w:spacing w:line="520" w:lineRule="exact"/>
        <w:ind w:left="0" w:leftChars="0" w:firstLine="0" w:firstLineChars="0"/>
        <w:jc w:val="center"/>
        <w:textAlignment w:val="auto"/>
        <w:outlineLvl w:val="9"/>
        <w:rPr>
          <w:rFonts w:hint="eastAsia"/>
          <w:b/>
          <w:bCs/>
          <w:sz w:val="32"/>
          <w:szCs w:val="32"/>
        </w:rPr>
      </w:pPr>
      <w:r>
        <w:rPr>
          <w:rFonts w:hint="eastAsia"/>
          <w:b/>
          <w:bCs/>
          <w:sz w:val="32"/>
          <w:szCs w:val="32"/>
        </w:rPr>
        <w:t>用户需求书</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outlineLvl w:val="9"/>
        <w:rPr>
          <w:rStyle w:val="16"/>
          <w:rFonts w:hint="eastAsia" w:ascii="黑体" w:hAnsi="黑体" w:eastAsia="黑体" w:cs="黑体"/>
          <w:b w:val="0"/>
          <w:bCs w:val="0"/>
          <w:sz w:val="32"/>
          <w:szCs w:val="32"/>
          <w:lang w:eastAsia="zh-CN"/>
        </w:rPr>
      </w:pP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eastAsia="zh-CN"/>
        </w:rPr>
        <w:t>一、项目概述</w:t>
      </w:r>
    </w:p>
    <w:p>
      <w:pPr>
        <w:pStyle w:val="2"/>
        <w:spacing w:line="360" w:lineRule="auto"/>
        <w:ind w:left="0" w:leftChars="0" w:firstLine="420" w:firstLineChars="200"/>
        <w:rPr>
          <w:rFonts w:hint="eastAsia" w:cs="仿宋_GB2312"/>
          <w:color w:val="000000"/>
        </w:rPr>
      </w:pPr>
      <w:r>
        <w:rPr>
          <w:rFonts w:hint="eastAsia" w:cs="仿宋_GB2312"/>
          <w:color w:val="000000"/>
        </w:rPr>
        <w:t>为在保证内外网隔离的情况下，实现安全、可靠、高效的文件交换，现拟推进跨网文件安全交换系统建设工作。</w:t>
      </w:r>
    </w:p>
    <w:tbl>
      <w:tblPr>
        <w:tblStyle w:val="19"/>
        <w:tblW w:w="895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1408"/>
        <w:gridCol w:w="1842"/>
        <w:gridCol w:w="21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3511"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服务内容</w:t>
            </w:r>
          </w:p>
        </w:tc>
        <w:tc>
          <w:tcPr>
            <w:tcW w:w="1408"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数量</w:t>
            </w:r>
          </w:p>
        </w:tc>
        <w:tc>
          <w:tcPr>
            <w:tcW w:w="1842"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服务期</w:t>
            </w:r>
          </w:p>
        </w:tc>
        <w:tc>
          <w:tcPr>
            <w:tcW w:w="2196"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总价限价</w:t>
            </w:r>
          </w:p>
          <w:p>
            <w:pPr>
              <w:spacing w:line="360" w:lineRule="auto"/>
              <w:jc w:val="center"/>
              <w:textAlignment w:val="baseline"/>
            </w:pPr>
            <w:r>
              <w:rPr>
                <w:rFonts w:hint="eastAsia"/>
              </w:rPr>
              <w:t>（人民币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3511" w:type="dxa"/>
            <w:tcBorders>
              <w:top w:val="single" w:color="auto" w:sz="2" w:space="0"/>
              <w:bottom w:val="single" w:color="auto" w:sz="2" w:space="0"/>
            </w:tcBorders>
            <w:vAlign w:val="center"/>
          </w:tcPr>
          <w:p>
            <w:pPr>
              <w:spacing w:line="360" w:lineRule="auto"/>
              <w:jc w:val="center"/>
              <w:textAlignment w:val="baseline"/>
            </w:pPr>
            <w:r>
              <w:rPr>
                <w:rFonts w:hint="eastAsia" w:ascii="宋体" w:hAnsi="宋体"/>
                <w:szCs w:val="21"/>
              </w:rPr>
              <w:t>广东省河源监狱跨网文件交换安全管理系统建设项目</w:t>
            </w:r>
          </w:p>
        </w:tc>
        <w:tc>
          <w:tcPr>
            <w:tcW w:w="1408" w:type="dxa"/>
            <w:tcBorders>
              <w:top w:val="single" w:color="auto" w:sz="2" w:space="0"/>
              <w:bottom w:val="single" w:color="auto" w:sz="2" w:space="0"/>
            </w:tcBorders>
            <w:vAlign w:val="center"/>
          </w:tcPr>
          <w:p>
            <w:pPr>
              <w:spacing w:line="360" w:lineRule="auto"/>
              <w:jc w:val="center"/>
              <w:textAlignment w:val="baseline"/>
            </w:pPr>
            <w:r>
              <w:rPr>
                <w:rFonts w:hint="eastAsia"/>
              </w:rPr>
              <w:t>1项</w:t>
            </w:r>
          </w:p>
        </w:tc>
        <w:tc>
          <w:tcPr>
            <w:tcW w:w="1842" w:type="dxa"/>
            <w:tcBorders>
              <w:top w:val="single" w:color="auto" w:sz="2" w:space="0"/>
              <w:bottom w:val="single" w:color="auto" w:sz="2" w:space="0"/>
            </w:tcBorders>
            <w:vAlign w:val="center"/>
          </w:tcPr>
          <w:p>
            <w:pPr>
              <w:pStyle w:val="29"/>
              <w:spacing w:line="360" w:lineRule="auto"/>
              <w:ind w:firstLine="0" w:firstLineChars="0"/>
              <w:jc w:val="center"/>
              <w:rPr>
                <w:rFonts w:ascii="宋体" w:hAnsi="宋体"/>
                <w:szCs w:val="21"/>
              </w:rPr>
            </w:pPr>
            <w:r>
              <w:rPr>
                <w:rFonts w:hint="eastAsia" w:ascii="宋体" w:hAnsi="宋体"/>
                <w:szCs w:val="21"/>
              </w:rPr>
              <w:t>合同签订后，5个自然日内</w:t>
            </w:r>
            <w:r>
              <w:rPr>
                <w:rFonts w:hint="eastAsia" w:ascii="宋体" w:hAnsi="宋体"/>
                <w:bCs/>
                <w:szCs w:val="21"/>
              </w:rPr>
              <w:t>完成安装调试及交付使用</w:t>
            </w:r>
          </w:p>
        </w:tc>
        <w:tc>
          <w:tcPr>
            <w:tcW w:w="2196" w:type="dxa"/>
            <w:tcBorders>
              <w:top w:val="single" w:color="auto" w:sz="2" w:space="0"/>
              <w:bottom w:val="single" w:color="auto" w:sz="2" w:space="0"/>
            </w:tcBorders>
            <w:vAlign w:val="center"/>
          </w:tcPr>
          <w:p>
            <w:pPr>
              <w:spacing w:line="360" w:lineRule="auto"/>
              <w:jc w:val="center"/>
              <w:textAlignment w:val="baseline"/>
              <w:rPr>
                <w:rFonts w:hint="eastAsia"/>
              </w:rPr>
            </w:pPr>
            <w:r>
              <w:rPr>
                <w:rFonts w:hint="eastAsia"/>
              </w:rPr>
              <w:t>人民币</w:t>
            </w:r>
            <w:r>
              <w:rPr>
                <w:rFonts w:cs="仿宋_GB2312"/>
                <w:color w:val="000000"/>
              </w:rPr>
              <w:t>287,000 元</w:t>
            </w:r>
          </w:p>
        </w:tc>
      </w:tr>
    </w:tbl>
    <w:p>
      <w:pPr>
        <w:pStyle w:val="7"/>
        <w:spacing w:after="0" w:line="360" w:lineRule="auto"/>
        <w:ind w:firstLineChars="200"/>
      </w:pPr>
      <w:bookmarkStart w:id="0" w:name="_Hlk133222783"/>
      <w:r>
        <w:rPr>
          <w:rFonts w:hint="eastAsia" w:cs="仿宋_GB2312"/>
          <w:color w:val="000000"/>
        </w:rPr>
        <w:t>供应商报价须包含系统建设费用、人工费用、运杂费、维修服务所需维修备品配件费、交通费及应缴各种税费、税金和合理的利润等与项目相关的一切费用。</w:t>
      </w:r>
    </w:p>
    <w:bookmarkEnd w:id="0"/>
    <w:p>
      <w:pPr>
        <w:pStyle w:val="2"/>
        <w:spacing w:line="360" w:lineRule="auto"/>
        <w:ind w:left="0" w:leftChars="0" w:firstLine="422" w:firstLineChars="200"/>
        <w:rPr>
          <w:rFonts w:hint="eastAsia" w:cs="仿宋_GB2312"/>
          <w:color w:val="000000"/>
          <w:lang w:val="en-US" w:eastAsia="zh-CN"/>
        </w:rPr>
      </w:pPr>
      <w:r>
        <w:rPr>
          <w:rFonts w:hint="eastAsia" w:cs="仿宋_GB2312"/>
          <w:b/>
          <w:bCs/>
          <w:color w:val="000000"/>
          <w:lang w:val="en-US" w:eastAsia="zh-CN"/>
        </w:rPr>
        <w:t>二、预算金额：</w:t>
      </w:r>
      <w:r>
        <w:rPr>
          <w:rFonts w:hint="eastAsia" w:cs="仿宋_GB2312"/>
          <w:color w:val="000000"/>
          <w:lang w:val="en-US" w:eastAsia="zh-CN"/>
        </w:rPr>
        <w:t>人民币287000元。</w:t>
      </w:r>
    </w:p>
    <w:p>
      <w:pPr>
        <w:pStyle w:val="2"/>
        <w:spacing w:line="360" w:lineRule="auto"/>
        <w:ind w:left="0" w:leftChars="0" w:firstLine="422" w:firstLineChars="200"/>
        <w:rPr>
          <w:rFonts w:hint="eastAsia" w:cs="仿宋_GB2312"/>
          <w:b/>
          <w:bCs/>
          <w:color w:val="000000"/>
          <w:lang w:val="en-US" w:eastAsia="zh-CN"/>
        </w:rPr>
      </w:pPr>
      <w:r>
        <w:rPr>
          <w:rFonts w:hint="eastAsia" w:cs="仿宋_GB2312"/>
          <w:b/>
          <w:bCs/>
          <w:color w:val="000000"/>
          <w:lang w:val="en-US" w:eastAsia="zh-CN"/>
        </w:rPr>
        <w:t>三、标的清单</w:t>
      </w:r>
    </w:p>
    <w:tbl>
      <w:tblPr>
        <w:tblStyle w:val="19"/>
        <w:tblW w:w="9400" w:type="dxa"/>
        <w:tblInd w:w="0" w:type="dxa"/>
        <w:tblLayout w:type="fixed"/>
        <w:tblCellMar>
          <w:top w:w="0" w:type="dxa"/>
          <w:left w:w="0" w:type="dxa"/>
          <w:bottom w:w="0" w:type="dxa"/>
          <w:right w:w="0" w:type="dxa"/>
        </w:tblCellMar>
      </w:tblPr>
      <w:tblGrid>
        <w:gridCol w:w="473"/>
        <w:gridCol w:w="1000"/>
        <w:gridCol w:w="949"/>
        <w:gridCol w:w="3421"/>
        <w:gridCol w:w="459"/>
        <w:gridCol w:w="500"/>
        <w:gridCol w:w="932"/>
        <w:gridCol w:w="1032"/>
        <w:gridCol w:w="634"/>
      </w:tblGrid>
      <w:tr>
        <w:tblPrEx>
          <w:tblLayout w:type="fixed"/>
          <w:tblCellMar>
            <w:top w:w="0" w:type="dxa"/>
            <w:left w:w="0" w:type="dxa"/>
            <w:bottom w:w="0" w:type="dxa"/>
            <w:right w:w="0" w:type="dxa"/>
          </w:tblCellMar>
        </w:tblPrEx>
        <w:trPr>
          <w:trHeight w:val="741" w:hRule="atLeast"/>
        </w:trPr>
        <w:tc>
          <w:tcPr>
            <w:tcW w:w="473"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w:t>
            </w:r>
          </w:p>
        </w:tc>
        <w:tc>
          <w:tcPr>
            <w:tcW w:w="949"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模块</w:t>
            </w:r>
          </w:p>
        </w:tc>
        <w:tc>
          <w:tcPr>
            <w:tcW w:w="3421"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产品描述/服务概述</w:t>
            </w:r>
          </w:p>
        </w:tc>
        <w:tc>
          <w:tcPr>
            <w:tcW w:w="459"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32"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单价限价（元）</w:t>
            </w:r>
          </w:p>
        </w:tc>
        <w:tc>
          <w:tcPr>
            <w:tcW w:w="1032"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总价限价（元）</w:t>
            </w:r>
          </w:p>
        </w:tc>
        <w:tc>
          <w:tcPr>
            <w:tcW w:w="63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3007" w:hRule="atLeast"/>
        </w:trPr>
        <w:tc>
          <w:tcPr>
            <w:tcW w:w="47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跨网文件交换安全管理系统</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主模块</w:t>
            </w:r>
          </w:p>
        </w:tc>
        <w:tc>
          <w:tcPr>
            <w:tcW w:w="3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系统版本：爱数 Anyshare Enterprise 7 软件版。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1.主要功能：实现2个或多个隔离网域间的文件安全摆渡。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2.功能模块：包含主模块、用户数模块、ECeph对象存储服务、数据库服务、OpenSearch服务授权，文档内容管理、团队共享协作、多终端同步访问、文件在线预览、用户管理及操作日志审计等。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3.适配情况：可部署在通用服务器、信创服务器或虚拟化环境中。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4.维保服务：不少于3年。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5.其他：免费提供1次网闸适配对接的服务，免费提供1次本系统从通用服务器迁移至信创服务器的服务。</w:t>
            </w:r>
          </w:p>
        </w:tc>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98,000.00</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内外网各1套</w:t>
            </w:r>
          </w:p>
        </w:tc>
      </w:tr>
      <w:tr>
        <w:tblPrEx>
          <w:tblLayout w:type="fixed"/>
          <w:tblCellMar>
            <w:top w:w="0" w:type="dxa"/>
            <w:left w:w="0" w:type="dxa"/>
            <w:bottom w:w="0" w:type="dxa"/>
            <w:right w:w="0" w:type="dxa"/>
          </w:tblCellMar>
        </w:tblPrEx>
        <w:trPr>
          <w:trHeight w:val="1400" w:hRule="atLeast"/>
        </w:trPr>
        <w:tc>
          <w:tcPr>
            <w:tcW w:w="47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用户授权</w:t>
            </w:r>
          </w:p>
        </w:tc>
        <w:tc>
          <w:tcPr>
            <w:tcW w:w="3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每套用户授权：不少于100个用户。</w:t>
            </w:r>
          </w:p>
        </w:tc>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12,500.00</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内外网各建立300个用户。</w:t>
            </w:r>
          </w:p>
        </w:tc>
      </w:tr>
      <w:tr>
        <w:tblPrEx>
          <w:tblLayout w:type="fixed"/>
          <w:tblCellMar>
            <w:top w:w="0" w:type="dxa"/>
            <w:left w:w="0" w:type="dxa"/>
            <w:bottom w:w="0" w:type="dxa"/>
            <w:right w:w="0" w:type="dxa"/>
          </w:tblCellMar>
        </w:tblPrEx>
        <w:trPr>
          <w:trHeight w:val="1400" w:hRule="atLeast"/>
        </w:trPr>
        <w:tc>
          <w:tcPr>
            <w:tcW w:w="473"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实时杀毒授权</w:t>
            </w:r>
          </w:p>
        </w:tc>
        <w:tc>
          <w:tcPr>
            <w:tcW w:w="3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1.实时杀毒服务授权，提供上传杀毒和全盘杀毒服务，支持多模式的病毒库更新，病毒文件会自动存放在隔离区便于后期管控。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2.提供不少于5年病毒库自动更新，支持多模式病毒库更新。</w:t>
            </w:r>
          </w:p>
        </w:tc>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16,000.00</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等线" w:hAnsi="等线" w:eastAsia="等线" w:cs="等线"/>
                <w:i w:val="0"/>
                <w:color w:val="000000"/>
                <w:sz w:val="20"/>
                <w:szCs w:val="20"/>
                <w:u w:val="none"/>
              </w:rPr>
            </w:pPr>
          </w:p>
        </w:tc>
      </w:tr>
      <w:tr>
        <w:tblPrEx>
          <w:tblLayout w:type="fixed"/>
          <w:tblCellMar>
            <w:top w:w="0" w:type="dxa"/>
            <w:left w:w="0" w:type="dxa"/>
            <w:bottom w:w="0" w:type="dxa"/>
            <w:right w:w="0" w:type="dxa"/>
          </w:tblCellMar>
        </w:tblPrEx>
        <w:trPr>
          <w:trHeight w:val="615" w:hRule="atLeast"/>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等线" w:hAnsi="等线" w:eastAsia="等线" w:cs="等线"/>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outlineLvl w:val="0"/>
        <w:rPr>
          <w:rFonts w:hint="eastAsia" w:ascii="黑体" w:hAnsi="黑体" w:eastAsia="黑体"/>
          <w:sz w:val="32"/>
          <w:szCs w:val="32"/>
          <w:lang w:val="en-US" w:eastAsia="zh-CN"/>
        </w:rPr>
      </w:pPr>
    </w:p>
    <w:p>
      <w:pPr>
        <w:pStyle w:val="2"/>
        <w:spacing w:line="360" w:lineRule="auto"/>
        <w:ind w:left="0" w:leftChars="0" w:firstLine="422" w:firstLineChars="200"/>
        <w:rPr>
          <w:rFonts w:hint="eastAsia" w:cs="仿宋_GB2312"/>
          <w:b/>
          <w:bCs/>
          <w:color w:val="000000"/>
          <w:lang w:val="en-US" w:eastAsia="zh-CN"/>
        </w:rPr>
      </w:pPr>
      <w:r>
        <w:rPr>
          <w:rFonts w:hint="eastAsia" w:cs="仿宋_GB2312"/>
          <w:b/>
          <w:bCs/>
          <w:color w:val="000000"/>
          <w:lang w:val="en-US" w:eastAsia="zh-CN"/>
        </w:rPr>
        <w:t>四、服务内容</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（一）在监狱内网、外网各部署一套电子文档安全管理系统，分别部署文件导入导出流程和用户权限。</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（二）将内外网两套文件安全管理系统与监狱现有的双向网闸（网神SecSIS3600安全隔离与信息交换系统V2.0/GZ10000-FT20）进行对接，构筑一条统一可控、符合等保要求的文件交换通道。</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（三）部署完成后，用户可通过监狱内外网计算机分别登录文件安全管理系统服务端，完成文件导入导出流程审批以及文件上传下载等操作。</w:t>
      </w:r>
    </w:p>
    <w:p>
      <w:pPr>
        <w:pStyle w:val="2"/>
        <w:spacing w:line="360" w:lineRule="auto"/>
        <w:ind w:left="0" w:leftChars="0" w:firstLine="422" w:firstLineChars="200"/>
        <w:rPr>
          <w:rFonts w:hint="eastAsia" w:cs="仿宋_GB2312"/>
          <w:b/>
          <w:bCs/>
          <w:color w:val="000000"/>
          <w:lang w:val="en-US" w:eastAsia="zh-CN"/>
        </w:rPr>
      </w:pPr>
      <w:r>
        <w:rPr>
          <w:rFonts w:hint="eastAsia" w:cs="仿宋_GB2312"/>
          <w:b/>
          <w:bCs/>
          <w:color w:val="000000"/>
          <w:lang w:val="en-US" w:eastAsia="zh-CN"/>
        </w:rPr>
        <w:t>五、服务标准</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（一）按项目清单、服务内容要求提供货物及相应授权，确保系统正常运行。</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（二）所提供的产品符合中华人民共和国国家相关标准、行业标准以及原厂质量标准。</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（三）提供免费配送及安装服务，产品安装前需提供供货、维保和病毒库更新服务原厂证明。</w:t>
      </w:r>
    </w:p>
    <w:p>
      <w:pPr>
        <w:pStyle w:val="2"/>
        <w:spacing w:line="360" w:lineRule="auto"/>
        <w:ind w:left="0" w:leftChars="0" w:firstLine="422" w:firstLineChars="200"/>
        <w:rPr>
          <w:rFonts w:hint="eastAsia" w:cs="仿宋_GB2312"/>
          <w:b/>
          <w:bCs/>
          <w:color w:val="000000"/>
          <w:lang w:val="en-US" w:eastAsia="zh-CN"/>
        </w:rPr>
      </w:pPr>
      <w:r>
        <w:rPr>
          <w:rFonts w:hint="eastAsia" w:cs="仿宋_GB2312"/>
          <w:b/>
          <w:bCs/>
          <w:color w:val="000000"/>
          <w:lang w:val="en-US" w:eastAsia="zh-CN"/>
        </w:rPr>
        <w:t>六、服务（交付）期限</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合同签订后，20个自然日内交货。</w:t>
      </w:r>
    </w:p>
    <w:p>
      <w:pPr>
        <w:pStyle w:val="2"/>
        <w:spacing w:line="360" w:lineRule="auto"/>
        <w:ind w:left="0" w:leftChars="0" w:firstLine="422" w:firstLineChars="200"/>
        <w:rPr>
          <w:rFonts w:hint="eastAsia" w:cs="仿宋_GB2312"/>
          <w:b/>
          <w:bCs/>
          <w:color w:val="000000"/>
          <w:lang w:val="en-US" w:eastAsia="zh-CN"/>
        </w:rPr>
      </w:pPr>
      <w:r>
        <w:rPr>
          <w:rFonts w:hint="eastAsia" w:cs="仿宋_GB2312"/>
          <w:b/>
          <w:bCs/>
          <w:color w:val="000000"/>
          <w:lang w:val="en-US" w:eastAsia="zh-CN"/>
        </w:rPr>
        <w:t>七、供应商资格条件</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 xml:space="preserve">（一）具有独立承担民事责任的在中华人民共和国境内注册的法人或其他组织。 </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 xml:space="preserve">（二）具有履行本项目所必需的设备和专业技术能力。 </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（三）供应商的法定代表人或单位负责人与所参投的本项目其他供应商的法定代表人或单位负责人不得为同一人且与其他供应商之间不得存在直接控股、管理关系。</w:t>
      </w:r>
    </w:p>
    <w:p>
      <w:pPr>
        <w:pStyle w:val="2"/>
        <w:spacing w:line="360" w:lineRule="auto"/>
        <w:ind w:left="0" w:leftChars="0" w:firstLine="422" w:firstLineChars="200"/>
        <w:rPr>
          <w:rFonts w:hint="eastAsia" w:cs="仿宋_GB2312"/>
          <w:b/>
          <w:bCs/>
          <w:color w:val="000000"/>
          <w:lang w:val="en-US" w:eastAsia="zh-CN"/>
        </w:rPr>
      </w:pPr>
      <w:r>
        <w:rPr>
          <w:rFonts w:hint="eastAsia" w:cs="仿宋_GB2312"/>
          <w:b/>
          <w:bCs/>
          <w:color w:val="000000"/>
          <w:lang w:val="en-US" w:eastAsia="zh-CN"/>
        </w:rPr>
        <w:t>八、保密要求</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（一）供应商在执行过程中了解到的有关的内容以及数据或信息，要落实相应保密要求；</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（二）供应商负责确保其雇员应严格遵守保密义务。</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（三）保密期限参照《保密法》规定执行。</w:t>
      </w:r>
    </w:p>
    <w:p>
      <w:pPr>
        <w:pStyle w:val="2"/>
        <w:spacing w:line="360" w:lineRule="auto"/>
        <w:ind w:left="0" w:leftChars="0" w:firstLine="422" w:firstLineChars="200"/>
        <w:rPr>
          <w:rFonts w:hint="eastAsia" w:cs="仿宋_GB2312"/>
          <w:b/>
          <w:bCs/>
          <w:color w:val="000000"/>
          <w:lang w:val="en-US" w:eastAsia="zh-CN"/>
        </w:rPr>
      </w:pPr>
      <w:r>
        <w:rPr>
          <w:rFonts w:hint="eastAsia" w:cs="仿宋_GB2312"/>
          <w:b/>
          <w:bCs/>
          <w:color w:val="000000"/>
          <w:lang w:val="en-US" w:eastAsia="zh-CN"/>
        </w:rPr>
        <w:t>九、款项支付</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项目验收合格，收到供应商有效发票后15日内完成合同金额支付。</w:t>
      </w:r>
    </w:p>
    <w:p>
      <w:pPr>
        <w:pStyle w:val="2"/>
        <w:spacing w:line="360" w:lineRule="auto"/>
        <w:ind w:left="0" w:leftChars="0" w:firstLine="422" w:firstLineChars="200"/>
        <w:rPr>
          <w:rFonts w:hint="eastAsia" w:cs="仿宋_GB2312"/>
          <w:b/>
          <w:bCs/>
          <w:color w:val="000000"/>
          <w:lang w:val="en-US" w:eastAsia="zh-CN"/>
        </w:rPr>
      </w:pPr>
      <w:r>
        <w:rPr>
          <w:rFonts w:hint="eastAsia" w:cs="仿宋_GB2312"/>
          <w:b/>
          <w:bCs/>
          <w:color w:val="000000"/>
          <w:lang w:val="en-US" w:eastAsia="zh-CN"/>
        </w:rPr>
        <w:t>十、售后和保障</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自项目验收之日起，项目质保3年，提供5年病毒库自动更新。质保期内，提供相应的系统和功能的原厂维保和技术支持，由此产生的一切费用均由供应商承担。如履行合同期间采购方发现供应商未按规定履行合同，采购方有权结束合作并立即终止合同，同时拒绝该供应商法人旗下所有公司参与本单位采购。</w:t>
      </w:r>
      <w:bookmarkStart w:id="3" w:name="_GoBack"/>
      <w:bookmarkEnd w:id="3"/>
    </w:p>
    <w:p>
      <w:pPr>
        <w:pStyle w:val="2"/>
        <w:spacing w:line="360" w:lineRule="auto"/>
        <w:ind w:left="0" w:leftChars="0" w:firstLine="422" w:firstLineChars="200"/>
        <w:rPr>
          <w:rFonts w:hint="default" w:cs="仿宋_GB2312"/>
          <w:b/>
          <w:bCs/>
          <w:color w:val="000000"/>
          <w:lang w:val="en-US" w:eastAsia="zh-CN"/>
        </w:rPr>
      </w:pPr>
      <w:r>
        <w:rPr>
          <w:rFonts w:hint="eastAsia" w:cs="仿宋_GB2312"/>
          <w:b/>
          <w:bCs/>
          <w:color w:val="000000"/>
          <w:lang w:val="en-US" w:eastAsia="zh-CN"/>
        </w:rPr>
        <w:t>十一、验收标准</w:t>
      </w:r>
    </w:p>
    <w:p>
      <w:pPr>
        <w:keepNext w:val="0"/>
        <w:keepLines w:val="0"/>
        <w:pageBreakBefore w:val="0"/>
        <w:widowControl w:val="0"/>
        <w:kinsoku/>
        <w:wordWrap/>
        <w:overflowPunct/>
        <w:topLinePunct w:val="0"/>
        <w:autoSpaceDE/>
        <w:autoSpaceDN/>
        <w:bidi w:val="0"/>
        <w:adjustRightInd w:val="0"/>
        <w:snapToGrid w:val="0"/>
        <w:spacing w:line="520" w:lineRule="exact"/>
        <w:ind w:firstLine="422" w:firstLineChars="200"/>
        <w:textAlignment w:val="auto"/>
        <w:outlineLvl w:val="0"/>
        <w:rPr>
          <w:rFonts w:hint="default" w:ascii="Times New Roman" w:hAnsi="Times New Roman" w:cs="仿宋_GB2312" w:eastAsiaTheme="minorEastAsia"/>
          <w:b/>
          <w:bCs/>
          <w:color w:val="000000"/>
          <w:kern w:val="2"/>
          <w:sz w:val="21"/>
          <w:szCs w:val="24"/>
          <w:u w:val="single"/>
          <w:lang w:val="en-US" w:eastAsia="zh-CN" w:bidi="ar-SA"/>
        </w:rPr>
      </w:pPr>
      <w:r>
        <w:rPr>
          <w:rFonts w:hint="eastAsia" w:ascii="Times New Roman" w:hAnsi="Times New Roman" w:cs="仿宋_GB2312" w:eastAsiaTheme="minorEastAsia"/>
          <w:b/>
          <w:bCs/>
          <w:color w:val="000000"/>
          <w:kern w:val="2"/>
          <w:sz w:val="21"/>
          <w:szCs w:val="24"/>
          <w:u w:val="single"/>
          <w:lang w:val="en-US" w:eastAsia="zh-CN" w:bidi="ar-SA"/>
        </w:rPr>
        <w:t>采购人根据有关国家行业所列标准及规范、规定，并邀请产品厂家联合对项目采购文件、清单、产品原厂证明、合同等材料，采购项目品牌、型号、数量、质量、功能、安装和运行情况等进行验收。</w:t>
      </w:r>
    </w:p>
    <w:p>
      <w:pPr>
        <w:pStyle w:val="2"/>
        <w:spacing w:line="360" w:lineRule="auto"/>
        <w:ind w:left="0" w:leftChars="0" w:firstLine="422" w:firstLineChars="200"/>
        <w:rPr>
          <w:rFonts w:hint="eastAsia" w:cs="仿宋_GB2312"/>
          <w:b/>
          <w:bCs/>
          <w:color w:val="000000"/>
          <w:lang w:val="en-US" w:eastAsia="zh-CN"/>
        </w:rPr>
      </w:pPr>
      <w:r>
        <w:rPr>
          <w:rFonts w:hint="eastAsia" w:cs="仿宋_GB2312"/>
          <w:b/>
          <w:bCs/>
          <w:color w:val="000000"/>
          <w:lang w:val="en-US" w:eastAsia="zh-CN"/>
        </w:rPr>
        <w:t>十二、报价要求</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本项目报价采用 “折扣率（%）”方式，供应商所报统一折扣率：0＜折扣率≤100.0%，且须为固定唯一值（如八折，则以80%表示），成交单价=单价最高限价*折扣率，签订合同单价按折扣率四舍五入保留两位小数点。</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本次采购的报价包含产品的购买、运输、安装、调试、培训、税费等项目实施过程中的应预见和不可预见的一切费用，采购人不再支付其他费用。</w:t>
      </w:r>
    </w:p>
    <w:p>
      <w:pPr>
        <w:pStyle w:val="2"/>
        <w:spacing w:line="360" w:lineRule="auto"/>
        <w:ind w:left="0" w:leftChars="0" w:firstLine="420" w:firstLineChars="200"/>
        <w:rPr>
          <w:rFonts w:hint="eastAsia" w:cs="仿宋_GB2312"/>
          <w:color w:val="000000"/>
          <w:lang w:val="en-US" w:eastAsia="zh-CN"/>
        </w:rPr>
      </w:pPr>
      <w:r>
        <w:rPr>
          <w:rFonts w:hint="eastAsia" w:cs="仿宋_GB2312"/>
          <w:color w:val="000000"/>
          <w:lang w:val="en-US" w:eastAsia="zh-CN"/>
        </w:rPr>
        <w:t>竞价供应商须严格按照需求清单中商品要求的品牌（如有）、配置规格进行报价，如未按要求进行报价，其报价将按无效报价处理。</w:t>
      </w: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1"/>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b/>
          <w:bCs/>
          <w:sz w:val="44"/>
          <w:szCs w:val="44"/>
          <w:lang w:val="en-US" w:eastAsia="zh-CN"/>
        </w:rPr>
      </w:pPr>
      <w:r>
        <w:rPr>
          <w:rFonts w:hint="eastAsia"/>
          <w:b/>
          <w:bCs/>
          <w:sz w:val="36"/>
          <w:szCs w:val="36"/>
          <w:lang w:val="en-US" w:eastAsia="zh-CN"/>
        </w:rPr>
        <w:t>广东省河源监狱跨网文件交换安全管理系统建设项目</w:t>
      </w:r>
    </w:p>
    <w:p>
      <w:pPr>
        <w:pStyle w:val="6"/>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1"/>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1"/>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1"/>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1"/>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11"/>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w:t>
      </w:r>
      <w:r>
        <w:rPr>
          <w:rFonts w:hint="eastAsia" w:asciiTheme="minorEastAsia" w:hAnsiTheme="minorEastAsia" w:cstheme="minorEastAsia"/>
          <w:b w:val="0"/>
          <w:bCs w:val="0"/>
          <w:color w:val="000000"/>
          <w:sz w:val="32"/>
          <w:szCs w:val="32"/>
          <w:lang w:val="en-US" w:eastAsia="zh-CN"/>
        </w:rPr>
        <w:t>承诺</w:t>
      </w:r>
      <w:r>
        <w:rPr>
          <w:rFonts w:hint="eastAsia" w:asciiTheme="minorEastAsia" w:hAnsiTheme="minorEastAsia" w:eastAsiaTheme="minorEastAsia" w:cstheme="minorEastAsia"/>
          <w:b w:val="0"/>
          <w:bCs w:val="0"/>
          <w:color w:val="000000"/>
          <w:sz w:val="32"/>
          <w:szCs w:val="32"/>
          <w:lang w:val="en-US" w:eastAsia="zh-CN"/>
        </w:rPr>
        <w:t>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r>
        <w:rPr>
          <w:rFonts w:hint="eastAsia" w:asciiTheme="minorEastAsia" w:hAnsiTheme="minorEastAsia" w:cstheme="minorEastAsia"/>
          <w:color w:val="000000" w:themeColor="text1"/>
          <w:sz w:val="21"/>
          <w:szCs w:val="21"/>
          <w:lang w:val="en-US" w:eastAsia="zh-CN"/>
          <w14:textFill>
            <w14:solidFill>
              <w14:schemeClr w14:val="tx1"/>
            </w14:solidFill>
          </w14:textFill>
        </w:rPr>
        <w:t>承诺</w:t>
      </w:r>
      <w:r>
        <w:rPr>
          <w:rFonts w:hint="eastAsia" w:asciiTheme="minorEastAsia" w:hAnsiTheme="minorEastAsia" w:eastAsiaTheme="minorEastAsia" w:cstheme="minorEastAsia"/>
          <w:color w:val="000000" w:themeColor="text1"/>
          <w:sz w:val="21"/>
          <w:szCs w:val="21"/>
          <w14:textFill>
            <w14:solidFill>
              <w14:schemeClr w14:val="tx1"/>
            </w14:solidFill>
          </w14:textFill>
        </w:rPr>
        <w:t>函</w:t>
      </w:r>
    </w:p>
    <w:p>
      <w:pPr>
        <w:pStyle w:val="24"/>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adjustRightInd w:val="0"/>
        <w:snapToGrid w:val="0"/>
        <w:spacing w:line="460" w:lineRule="exact"/>
        <w:jc w:val="center"/>
        <w:rPr>
          <w:rFonts w:hint="eastAsia" w:ascii="宋体" w:hAnsi="宋体"/>
          <w:b/>
          <w:kern w:val="10"/>
          <w:sz w:val="28"/>
        </w:rPr>
      </w:pPr>
      <w:bookmarkStart w:id="1" w:name="_Toc2742220"/>
      <w:bookmarkStart w:id="2" w:name="_Toc496161875"/>
      <w:r>
        <w:rPr>
          <w:rFonts w:hint="eastAsia" w:ascii="宋体" w:hAnsi="宋体"/>
          <w:b/>
          <w:kern w:val="10"/>
          <w:sz w:val="28"/>
        </w:rPr>
        <w:t>报价承诺函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ind w:left="0" w:leftChars="0" w:firstLine="420" w:firstLineChars="200"/>
        <w:rPr>
          <w:rFonts w:hint="eastAsia"/>
        </w:rPr>
      </w:pPr>
      <w:r>
        <w:rPr>
          <w:rFonts w:hint="eastAsia"/>
        </w:rPr>
        <w:t>我公司（企业）已</w:t>
      </w:r>
      <w:r>
        <w:rPr>
          <w:rFonts w:hint="eastAsia"/>
          <w:lang w:val="en-US" w:eastAsia="zh-CN"/>
        </w:rPr>
        <w:t>认真研究了</w:t>
      </w:r>
      <w:r>
        <w:rPr>
          <w:rFonts w:hint="eastAsia"/>
        </w:rPr>
        <w:t>贵方</w:t>
      </w:r>
      <w:r>
        <w:rPr>
          <w:rFonts w:hint="eastAsia"/>
          <w:b/>
          <w:bCs/>
          <w:u w:val="single"/>
        </w:rPr>
        <w:t>《广东省河源监狱跨网文件交换安全管理系统建设项目》</w:t>
      </w:r>
      <w:r>
        <w:rPr>
          <w:rFonts w:hint="eastAsia"/>
          <w:lang w:val="en-US" w:eastAsia="zh-CN"/>
        </w:rPr>
        <w:t>比</w:t>
      </w:r>
      <w:r>
        <w:rPr>
          <w:rFonts w:hint="eastAsia"/>
        </w:rPr>
        <w:t>价文件，我司决定参加报价。并承诺如下：</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本公司（企业）承诺在报</w:t>
      </w:r>
      <w:r>
        <w:rPr>
          <w:rFonts w:hint="eastAsia"/>
          <w:lang w:val="en-US" w:eastAsia="zh-CN"/>
        </w:rPr>
        <w:t>价</w:t>
      </w:r>
      <w:r>
        <w:rPr>
          <w:rFonts w:hint="eastAsia"/>
        </w:rPr>
        <w:t>时已对用户需求书中的各项条款、内容及要求充分</w:t>
      </w:r>
      <w:r>
        <w:rPr>
          <w:rFonts w:hint="eastAsia"/>
          <w:lang w:val="en-US" w:eastAsia="zh-CN"/>
        </w:rPr>
        <w:t>了解并</w:t>
      </w:r>
      <w:r>
        <w:rPr>
          <w:rFonts w:hint="eastAsia"/>
        </w:rPr>
        <w:t>完全响应，不存在任意一条负偏离或不响应的情况。本公司（企业）清楚，若对于用户需求书各项条款存在任意一条负偏离或不响应的情况，不被推荐为成交候选人的要求。</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本公司（企业）按照</w:t>
      </w:r>
      <w:r>
        <w:rPr>
          <w:rFonts w:hint="eastAsia"/>
          <w:lang w:val="en-US" w:eastAsia="zh-CN"/>
        </w:rPr>
        <w:t>比</w:t>
      </w:r>
      <w:r>
        <w:rPr>
          <w:rFonts w:hint="eastAsia"/>
        </w:rPr>
        <w:t>价文件规定的各项要求进行报价，所报价格含完成用户需求书中要求的所有工作内容而发生的所有直接费用、间接费用和我方要求获得的利润以及应由我方承担的义务、责任和风险所发生的一切费用和赔偿。</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本公司（企业）承诺在本次采购活动中，报价文件及所提供一切资料均真实无误，无任何虚假或不真实的材料。如有违法、违规、弄虚作假行为，所造成的损失、不良后果及法律责任，一律由我公司（企业）承担。</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.本公司（企业）非联合体参加</w:t>
      </w:r>
      <w:r>
        <w:rPr>
          <w:rFonts w:hint="eastAsia"/>
          <w:lang w:val="en-US" w:eastAsia="zh-CN"/>
        </w:rPr>
        <w:t>比价</w:t>
      </w:r>
      <w:r>
        <w:rPr>
          <w:rFonts w:hint="eastAsia"/>
        </w:rPr>
        <w:t>，我方承诺如获得成交，不会将本项目分包或转包，</w:t>
      </w:r>
      <w:r>
        <w:rPr>
          <w:rFonts w:hint="eastAsia"/>
          <w:lang w:val="en-US" w:eastAsia="zh-CN"/>
        </w:rPr>
        <w:t>并</w:t>
      </w:r>
      <w:r>
        <w:rPr>
          <w:rFonts w:hint="eastAsia"/>
        </w:rPr>
        <w:t>严格履行</w:t>
      </w:r>
      <w:r>
        <w:rPr>
          <w:rFonts w:hint="eastAsia"/>
          <w:lang w:val="en-US" w:eastAsia="zh-CN"/>
        </w:rPr>
        <w:t>报</w:t>
      </w:r>
      <w:r>
        <w:rPr>
          <w:rFonts w:hint="eastAsia"/>
        </w:rPr>
        <w:t>价文件及合同规定的责任和义务，按时、按质、按量完成全部项目内容。</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5.</w:t>
      </w:r>
      <w:r>
        <w:rPr>
          <w:rFonts w:hint="eastAsia"/>
        </w:rPr>
        <w:t>本公司（企业）愿意提供贵单位可能另外要求的、与报价相关的文件资料，并保证文件资料的真实性和准确性</w:t>
      </w:r>
      <w:r>
        <w:rPr>
          <w:rFonts w:hint="eastAsia"/>
          <w:lang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6</w:t>
      </w:r>
      <w:r>
        <w:rPr>
          <w:rFonts w:hint="eastAsia"/>
        </w:rPr>
        <w:t>.本公司（企业）符合以下要求：</w:t>
      </w:r>
    </w:p>
    <w:p>
      <w:pPr>
        <w:pageBreakBefore w:val="0"/>
        <w:kinsoku/>
        <w:wordWrap/>
        <w:overflowPunct/>
        <w:topLinePunct w:val="0"/>
        <w:bidi w:val="0"/>
        <w:spacing w:line="340" w:lineRule="exact"/>
        <w:ind w:left="0" w:leftChars="0" w:firstLine="420" w:firstLineChars="200"/>
        <w:rPr>
          <w:rFonts w:hint="eastAsia"/>
        </w:rPr>
      </w:pPr>
      <w:r>
        <w:rPr>
          <w:rFonts w:hint="eastAsia"/>
        </w:rPr>
        <w:t>（1）具有独立承担民事责任的能力；</w:t>
      </w:r>
    </w:p>
    <w:p>
      <w:pPr>
        <w:pageBreakBefore w:val="0"/>
        <w:kinsoku/>
        <w:wordWrap/>
        <w:overflowPunct/>
        <w:topLinePunct w:val="0"/>
        <w:bidi w:val="0"/>
        <w:spacing w:line="340" w:lineRule="exact"/>
        <w:ind w:left="0" w:leftChars="0" w:firstLine="420" w:firstLineChars="200"/>
        <w:rPr>
          <w:rFonts w:hint="eastAsia"/>
        </w:rPr>
      </w:pPr>
      <w:r>
        <w:rPr>
          <w:rFonts w:hint="eastAsia"/>
        </w:rPr>
        <w:t>（2）具有良好的商业信誉和健全的财务会计制度；</w:t>
      </w:r>
    </w:p>
    <w:p>
      <w:pPr>
        <w:pageBreakBefore w:val="0"/>
        <w:kinsoku/>
        <w:wordWrap/>
        <w:overflowPunct/>
        <w:topLinePunct w:val="0"/>
        <w:bidi w:val="0"/>
        <w:spacing w:line="340" w:lineRule="exact"/>
        <w:ind w:left="0" w:leftChars="0" w:firstLine="420" w:firstLineChars="200"/>
        <w:rPr>
          <w:rFonts w:hint="eastAsia"/>
        </w:rPr>
      </w:pPr>
      <w:r>
        <w:rPr>
          <w:rFonts w:hint="eastAsia"/>
        </w:rPr>
        <w:t>（3）具有履行合同所必需的设备和专业技术能力；</w:t>
      </w:r>
    </w:p>
    <w:p>
      <w:pPr>
        <w:pageBreakBefore w:val="0"/>
        <w:kinsoku/>
        <w:wordWrap/>
        <w:overflowPunct/>
        <w:topLinePunct w:val="0"/>
        <w:bidi w:val="0"/>
        <w:spacing w:line="340" w:lineRule="exact"/>
        <w:ind w:left="0" w:leftChars="0" w:firstLine="420" w:firstLineChars="200"/>
        <w:rPr>
          <w:rFonts w:hint="eastAsia"/>
        </w:rPr>
      </w:pPr>
      <w:r>
        <w:rPr>
          <w:rFonts w:hint="eastAsia"/>
        </w:rPr>
        <w:t>（4）有依法缴纳税收和社会保障资金的良好记录；</w:t>
      </w:r>
    </w:p>
    <w:p>
      <w:pPr>
        <w:pageBreakBefore w:val="0"/>
        <w:kinsoku/>
        <w:wordWrap/>
        <w:overflowPunct/>
        <w:topLinePunct w:val="0"/>
        <w:bidi w:val="0"/>
        <w:spacing w:line="340" w:lineRule="exact"/>
        <w:ind w:left="0" w:leftChars="0" w:firstLine="420" w:firstLineChars="200"/>
        <w:rPr>
          <w:rFonts w:hint="eastAsia"/>
        </w:rPr>
      </w:pPr>
      <w:r>
        <w:rPr>
          <w:rFonts w:hint="eastAsia"/>
        </w:rPr>
        <w:t>（5）参加采购活动前三年内，在经营活动中没有重大违法记录；</w:t>
      </w:r>
    </w:p>
    <w:p>
      <w:pPr>
        <w:pageBreakBefore w:val="0"/>
        <w:kinsoku/>
        <w:wordWrap/>
        <w:overflowPunct/>
        <w:topLinePunct w:val="0"/>
        <w:bidi w:val="0"/>
        <w:spacing w:line="340" w:lineRule="exact"/>
        <w:ind w:left="0" w:leftChars="0" w:firstLine="420" w:firstLineChars="200"/>
        <w:rPr>
          <w:rFonts w:hint="eastAsia"/>
        </w:rPr>
      </w:pPr>
      <w:r>
        <w:rPr>
          <w:rFonts w:hint="eastAsia"/>
        </w:rPr>
        <w:t>（6）法律、行政法规规定的其他条件。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7</w:t>
      </w:r>
      <w:r>
        <w:rPr>
          <w:rFonts w:hint="eastAsia"/>
        </w:rPr>
        <w:t>.本公司（企业）与其他参与本项目的供应商不存在隶属关系或同属一母公司或法人的企业。</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8</w:t>
      </w:r>
      <w:r>
        <w:rPr>
          <w:rFonts w:hint="eastAsia"/>
        </w:rPr>
        <w:t>.本公司（企业）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p>
    <w:p>
      <w:pPr>
        <w:pageBreakBefore w:val="0"/>
        <w:kinsoku/>
        <w:wordWrap/>
        <w:overflowPunct/>
        <w:topLinePunct w:val="0"/>
        <w:bidi w:val="0"/>
        <w:spacing w:line="340" w:lineRule="exact"/>
        <w:ind w:left="0" w:leftChars="0" w:firstLine="420" w:firstLineChars="200"/>
        <w:rPr>
          <w:rFonts w:hint="eastAsia"/>
        </w:rPr>
      </w:pPr>
      <w:r>
        <w:rPr>
          <w:rFonts w:hint="eastAsia"/>
        </w:rPr>
        <w:t xml:space="preserve">如本公司（企业）违约，愿无条件赔偿贵单位因此造成的一切损失。 </w:t>
      </w:r>
    </w:p>
    <w:p>
      <w:pPr>
        <w:pageBreakBefore w:val="0"/>
        <w:kinsoku/>
        <w:wordWrap/>
        <w:overflowPunct/>
        <w:topLinePunct w:val="0"/>
        <w:bidi w:val="0"/>
        <w:spacing w:line="340" w:lineRule="exact"/>
        <w:ind w:left="0" w:leftChars="0" w:firstLine="420" w:firstLineChars="200"/>
        <w:rPr>
          <w:rFonts w:hint="eastAsia"/>
        </w:rPr>
      </w:pPr>
    </w:p>
    <w:p>
      <w:pPr>
        <w:pageBreakBefore w:val="0"/>
        <w:kinsoku/>
        <w:wordWrap/>
        <w:overflowPunct/>
        <w:topLinePunct w:val="0"/>
        <w:bidi w:val="0"/>
        <w:spacing w:line="340" w:lineRule="exact"/>
        <w:ind w:left="0" w:leftChars="0" w:firstLine="420" w:firstLineChars="200"/>
        <w:rPr>
          <w:rFonts w:hint="eastAsia"/>
        </w:rPr>
      </w:pPr>
      <w:r>
        <w:rPr>
          <w:rFonts w:hint="eastAsia"/>
        </w:rPr>
        <w:t>备注：</w:t>
      </w:r>
      <w:r>
        <w:rPr>
          <w:rFonts w:hint="eastAsia"/>
          <w:lang w:val="en-US" w:eastAsia="zh-CN"/>
        </w:rPr>
        <w:t>1.</w:t>
      </w:r>
      <w:r>
        <w:rPr>
          <w:rFonts w:hint="eastAsia"/>
        </w:rPr>
        <w:t>本</w:t>
      </w:r>
      <w:r>
        <w:rPr>
          <w:rFonts w:hint="eastAsia"/>
          <w:lang w:val="en-US" w:eastAsia="zh-CN"/>
        </w:rPr>
        <w:t>承诺</w:t>
      </w:r>
      <w:r>
        <w:rPr>
          <w:rFonts w:hint="eastAsia"/>
        </w:rPr>
        <w:t>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本</w:t>
      </w:r>
      <w:r>
        <w:rPr>
          <w:rFonts w:hint="eastAsia"/>
          <w:lang w:val="en-US" w:eastAsia="zh-CN"/>
        </w:rPr>
        <w:t>承诺</w:t>
      </w:r>
      <w:r>
        <w:rPr>
          <w:rFonts w:hint="eastAsia"/>
        </w:rPr>
        <w:t>函如有虚假或与事实不符的，作无效报价处理。</w:t>
      </w:r>
    </w:p>
    <w:p>
      <w:pPr>
        <w:pageBreakBefore w:val="0"/>
        <w:kinsoku/>
        <w:wordWrap/>
        <w:overflowPunct/>
        <w:topLinePunct w:val="0"/>
        <w:bidi w:val="0"/>
        <w:spacing w:line="340" w:lineRule="exact"/>
        <w:rPr>
          <w:rFonts w:hint="eastAsia"/>
        </w:rPr>
      </w:pPr>
    </w:p>
    <w:bookmarkEnd w:id="1"/>
    <w:bookmarkEnd w:id="2"/>
    <w:p>
      <w:pPr>
        <w:pageBreakBefore w:val="0"/>
        <w:kinsoku/>
        <w:wordWrap/>
        <w:overflowPunct/>
        <w:topLinePunct w:val="0"/>
        <w:bidi w:val="0"/>
        <w:spacing w:line="340" w:lineRule="exact"/>
        <w:ind w:left="0" w:leftChars="0" w:firstLine="420" w:firstLineChars="200"/>
        <w:rPr>
          <w:rFonts w:hint="eastAsia"/>
        </w:rPr>
      </w:pPr>
      <w:r>
        <w:rPr>
          <w:rFonts w:hint="eastAsia"/>
        </w:rPr>
        <w:t>供应商名称（单位盖公章）：</w:t>
      </w:r>
    </w:p>
    <w:p>
      <w:pPr>
        <w:pageBreakBefore w:val="0"/>
        <w:kinsoku/>
        <w:wordWrap/>
        <w:overflowPunct/>
        <w:topLinePunct w:val="0"/>
        <w:bidi w:val="0"/>
        <w:spacing w:line="340" w:lineRule="exact"/>
        <w:ind w:left="0" w:leftChars="0" w:firstLine="420" w:firstLineChars="200"/>
        <w:rPr>
          <w:rFonts w:hint="eastAsia"/>
        </w:rPr>
      </w:pPr>
      <w:r>
        <w:rPr>
          <w:rFonts w:hint="eastAsia"/>
        </w:rPr>
        <w:t>日期：     年   月   日</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rPr>
        <w:br w:type="page"/>
      </w:r>
      <w:r>
        <w:rPr>
          <w:rFonts w:hint="eastAsia"/>
          <w:lang w:eastAsia="zh-CN"/>
        </w:rPr>
        <w:t>（</w:t>
      </w:r>
      <w:r>
        <w:rPr>
          <w:rFonts w:hint="eastAsia"/>
          <w:lang w:val="en-US" w:eastAsia="zh-CN"/>
        </w:rPr>
        <w:t>二</w:t>
      </w:r>
      <w:r>
        <w:rPr>
          <w:rFonts w:hint="eastAsia"/>
          <w:lang w:eastAsia="zh-CN"/>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1"/>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1"/>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1"/>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1"/>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1"/>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 xml:space="preserve">广东省河源监狱跨网文件交换安全管理系统建设项目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kinsoku/>
        <w:wordWrap/>
        <w:overflowPunct/>
        <w:topLinePunct w:val="0"/>
        <w:bidi w:val="0"/>
        <w:spacing w:line="340" w:lineRule="exact"/>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cstheme="minorEastAsia"/>
          <w:color w:val="000000" w:themeColor="text1"/>
          <w:sz w:val="21"/>
          <w:szCs w:val="21"/>
          <w:lang w:eastAsia="zh-CN"/>
          <w14:textFill>
            <w14:solidFill>
              <w14:schemeClr w14:val="tx1"/>
            </w14:solidFill>
          </w14:textFill>
        </w:rPr>
        <w:t>）报价</w:t>
      </w:r>
      <w:r>
        <w:rPr>
          <w:rFonts w:hint="eastAsia" w:asciiTheme="minorEastAsia" w:hAnsiTheme="minorEastAsia" w:cstheme="minorEastAsia"/>
          <w:color w:val="000000" w:themeColor="text1"/>
          <w:sz w:val="21"/>
          <w:szCs w:val="21"/>
          <w:lang w:val="en-US" w:eastAsia="zh-CN"/>
          <w14:textFill>
            <w14:solidFill>
              <w14:schemeClr w14:val="tx1"/>
            </w14:solidFill>
          </w14:textFill>
        </w:rPr>
        <w:t>表</w:t>
      </w:r>
    </w:p>
    <w:p>
      <w:pPr>
        <w:pStyle w:val="11"/>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1"/>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1"/>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11"/>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20"/>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54"/>
        <w:gridCol w:w="1258"/>
        <w:gridCol w:w="25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736" w:type="dxa"/>
            <w:vAlign w:val="center"/>
          </w:tcPr>
          <w:p>
            <w:pPr>
              <w:pStyle w:val="11"/>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554" w:type="dxa"/>
            <w:vAlign w:val="center"/>
          </w:tcPr>
          <w:p>
            <w:pPr>
              <w:pStyle w:val="11"/>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58" w:type="dxa"/>
            <w:vAlign w:val="center"/>
          </w:tcPr>
          <w:p>
            <w:pPr>
              <w:pStyle w:val="11"/>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523" w:type="dxa"/>
            <w:vAlign w:val="center"/>
          </w:tcPr>
          <w:p>
            <w:pPr>
              <w:pStyle w:val="11"/>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统一折扣率报价</w:t>
            </w:r>
          </w:p>
          <w:p>
            <w:pPr>
              <w:pStyle w:val="11"/>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p>
        </w:tc>
        <w:tc>
          <w:tcPr>
            <w:tcW w:w="1369" w:type="dxa"/>
            <w:vAlign w:val="center"/>
          </w:tcPr>
          <w:p>
            <w:pPr>
              <w:pStyle w:val="11"/>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736" w:type="dxa"/>
            <w:vAlign w:val="center"/>
          </w:tcPr>
          <w:p>
            <w:pPr>
              <w:pStyle w:val="11"/>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hAnsi="宋体" w:cstheme="minorBidi"/>
                <w:b w:val="0"/>
                <w:bCs/>
                <w:color w:val="auto"/>
                <w:spacing w:val="4"/>
                <w:kern w:val="2"/>
                <w:sz w:val="21"/>
                <w:szCs w:val="21"/>
                <w:u w:val="none"/>
                <w:lang w:val="en-US" w:eastAsia="zh-CN" w:bidi="ar-SA"/>
              </w:rPr>
              <w:t>广东省河源监狱跨网文件交换安全管理系统建设项目</w:t>
            </w:r>
            <w:r>
              <w:rPr>
                <w:rFonts w:hint="eastAsia" w:ascii="宋体" w:hAnsi="宋体" w:eastAsiaTheme="minorEastAsia" w:cstheme="minorBidi"/>
                <w:b w:val="0"/>
                <w:bCs/>
                <w:color w:val="auto"/>
                <w:spacing w:val="4"/>
                <w:kern w:val="2"/>
                <w:sz w:val="21"/>
                <w:szCs w:val="21"/>
                <w:u w:val="none"/>
                <w:lang w:val="en-US" w:eastAsia="zh-CN" w:bidi="ar-SA"/>
              </w:rPr>
              <w:t xml:space="preserve"> </w:t>
            </w:r>
          </w:p>
        </w:tc>
        <w:tc>
          <w:tcPr>
            <w:tcW w:w="1554" w:type="dxa"/>
            <w:vAlign w:val="center"/>
          </w:tcPr>
          <w:p>
            <w:pPr>
              <w:pStyle w:val="11"/>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58" w:type="dxa"/>
            <w:vAlign w:val="center"/>
          </w:tcPr>
          <w:p>
            <w:pPr>
              <w:pStyle w:val="11"/>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523" w:type="dxa"/>
            <w:vAlign w:val="center"/>
          </w:tcPr>
          <w:p>
            <w:pPr>
              <w:pStyle w:val="11"/>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11"/>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11"/>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69" w:type="dxa"/>
            <w:vAlign w:val="center"/>
          </w:tcPr>
          <w:p>
            <w:pPr>
              <w:pStyle w:val="11"/>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spacing w:line="360" w:lineRule="auto"/>
        <w:rPr>
          <w:rFonts w:hint="eastAsia" w:ascii="宋体" w:hAnsi="Courier New"/>
          <w:kern w:val="2"/>
          <w:szCs w:val="21"/>
          <w:lang w:val="en-US" w:eastAsia="zh-CN"/>
        </w:rPr>
      </w:pPr>
    </w:p>
    <w:p>
      <w:pPr>
        <w:spacing w:line="360" w:lineRule="auto"/>
        <w:rPr>
          <w:rFonts w:hint="eastAsia" w:ascii="宋体" w:hAnsi="Courier New"/>
          <w:kern w:val="2"/>
          <w:szCs w:val="21"/>
          <w:lang w:val="en-US" w:eastAsia="zh-CN"/>
        </w:rPr>
      </w:pPr>
      <w:r>
        <w:rPr>
          <w:rFonts w:hint="eastAsia" w:ascii="宋体" w:hAnsi="Courier New"/>
          <w:kern w:val="2"/>
          <w:szCs w:val="21"/>
          <w:lang w:val="en-US" w:eastAsia="zh-CN"/>
        </w:rPr>
        <w:t>注：</w:t>
      </w:r>
    </w:p>
    <w:p>
      <w:pPr>
        <w:spacing w:line="360" w:lineRule="auto"/>
        <w:ind w:firstLine="420" w:firstLineChars="200"/>
        <w:rPr>
          <w:rFonts w:hint="eastAsia" w:ascii="宋体" w:hAnsi="宋体" w:cs="宋体"/>
          <w:szCs w:val="21"/>
        </w:rPr>
      </w:pPr>
      <w:r>
        <w:rPr>
          <w:rFonts w:hint="eastAsia" w:ascii="宋体" w:hAnsi="宋体" w:cs="宋体"/>
          <w:szCs w:val="21"/>
        </w:rPr>
        <w:t>1. 本项目报价采用 “折扣率（%）”方式，供应商所报统一折扣率：0＜折扣率≤100.0%，且须为固定唯一值（如八折，则以80%表示），成交单价=单价最高限价*折扣率，</w:t>
      </w:r>
      <w:r>
        <w:rPr>
          <w:rFonts w:hint="eastAsia" w:ascii="宋体" w:hAnsi="宋体" w:cs="宋体"/>
          <w:b/>
          <w:szCs w:val="21"/>
        </w:rPr>
        <w:t>签订合同单价按折扣率四舍五入保留两位小数点</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2.本次采购的报价包含产品的购买、运输、安装、调试、培训、税费等项目实施过程中的应预见和不可预见的一切费用，采购人不再支付其他费用。</w:t>
      </w:r>
    </w:p>
    <w:p>
      <w:pPr>
        <w:spacing w:line="360" w:lineRule="auto"/>
        <w:ind w:firstLine="420" w:firstLineChars="200"/>
        <w:rPr>
          <w:rFonts w:hint="eastAsia" w:ascii="宋体" w:hAnsi="宋体" w:cs="宋体"/>
          <w:szCs w:val="21"/>
        </w:rPr>
      </w:pPr>
      <w:r>
        <w:rPr>
          <w:rFonts w:hint="eastAsia" w:ascii="宋体" w:hAnsi="宋体" w:cs="宋体"/>
          <w:szCs w:val="21"/>
        </w:rPr>
        <w:t>3.竞价供应商须严格按照需求清单中商品要求的品牌（如有）、配置规格进行报价，如未按要求进行报价，其报价将按无效报价处理。</w:t>
      </w:r>
    </w:p>
    <w:p>
      <w:pPr>
        <w:spacing w:line="360" w:lineRule="auto"/>
        <w:ind w:firstLine="420" w:firstLineChars="200"/>
        <w:rPr>
          <w:rFonts w:hint="eastAsia" w:ascii="宋体" w:hAnsi="宋体"/>
          <w:kern w:val="2"/>
          <w:szCs w:val="21"/>
        </w:rPr>
      </w:pPr>
      <w:r>
        <w:rPr>
          <w:rFonts w:ascii="宋体" w:hAnsi="宋体" w:cs="宋体"/>
          <w:szCs w:val="21"/>
        </w:rPr>
        <w:t>4</w:t>
      </w:r>
      <w:r>
        <w:rPr>
          <w:rFonts w:hint="eastAsia" w:ascii="宋体" w:hAnsi="宋体" w:cs="宋体"/>
          <w:szCs w:val="21"/>
        </w:rPr>
        <w:t>.供应商报价表必须加盖公章，否则将按无效报价处理。</w:t>
      </w:r>
    </w:p>
    <w:p>
      <w:pPr>
        <w:pStyle w:val="15"/>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p>
    <w:p>
      <w:pPr>
        <w:pStyle w:val="21"/>
        <w:rPr>
          <w:rFonts w:hint="eastAsia"/>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6460"/>
    <w:multiLevelType w:val="singleLevel"/>
    <w:tmpl w:val="1133646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E21113"/>
    <w:rsid w:val="00EE48ED"/>
    <w:rsid w:val="0155715C"/>
    <w:rsid w:val="01C728D0"/>
    <w:rsid w:val="023B0759"/>
    <w:rsid w:val="02D018B9"/>
    <w:rsid w:val="03356B49"/>
    <w:rsid w:val="036B2B2F"/>
    <w:rsid w:val="049E4705"/>
    <w:rsid w:val="04B72AE5"/>
    <w:rsid w:val="04C27B6C"/>
    <w:rsid w:val="05601E08"/>
    <w:rsid w:val="059E75AD"/>
    <w:rsid w:val="073B0AB9"/>
    <w:rsid w:val="07A40D36"/>
    <w:rsid w:val="08A44419"/>
    <w:rsid w:val="08F6786C"/>
    <w:rsid w:val="093E72D7"/>
    <w:rsid w:val="0B3A43D4"/>
    <w:rsid w:val="0B3C2B55"/>
    <w:rsid w:val="0BC5664A"/>
    <w:rsid w:val="0BDA4A8E"/>
    <w:rsid w:val="0C373B85"/>
    <w:rsid w:val="0CAD59F1"/>
    <w:rsid w:val="0D226E45"/>
    <w:rsid w:val="0D934A87"/>
    <w:rsid w:val="0EE45AD9"/>
    <w:rsid w:val="0F156CFF"/>
    <w:rsid w:val="0F1B3E67"/>
    <w:rsid w:val="0FBE7AA3"/>
    <w:rsid w:val="10662DEA"/>
    <w:rsid w:val="111C40EB"/>
    <w:rsid w:val="11B25927"/>
    <w:rsid w:val="12003CF0"/>
    <w:rsid w:val="123F08B0"/>
    <w:rsid w:val="1397165D"/>
    <w:rsid w:val="14E873D2"/>
    <w:rsid w:val="14F77FDF"/>
    <w:rsid w:val="16737FD7"/>
    <w:rsid w:val="16F50701"/>
    <w:rsid w:val="186D7D0F"/>
    <w:rsid w:val="18AF3165"/>
    <w:rsid w:val="19283431"/>
    <w:rsid w:val="19560F86"/>
    <w:rsid w:val="19C1544E"/>
    <w:rsid w:val="19DA1D52"/>
    <w:rsid w:val="1A43221D"/>
    <w:rsid w:val="1B34727B"/>
    <w:rsid w:val="1BFA5FCE"/>
    <w:rsid w:val="1CFC717C"/>
    <w:rsid w:val="1DC51600"/>
    <w:rsid w:val="1E651D7F"/>
    <w:rsid w:val="1E676ED5"/>
    <w:rsid w:val="20947A18"/>
    <w:rsid w:val="21110749"/>
    <w:rsid w:val="2188519A"/>
    <w:rsid w:val="21A03B8D"/>
    <w:rsid w:val="21A3268F"/>
    <w:rsid w:val="21C36F1F"/>
    <w:rsid w:val="21CF36A6"/>
    <w:rsid w:val="21EF3A00"/>
    <w:rsid w:val="21F7526F"/>
    <w:rsid w:val="243D602E"/>
    <w:rsid w:val="25454630"/>
    <w:rsid w:val="255C570C"/>
    <w:rsid w:val="25E67716"/>
    <w:rsid w:val="264F26CE"/>
    <w:rsid w:val="265E0F6A"/>
    <w:rsid w:val="28A27EE1"/>
    <w:rsid w:val="28DC7708"/>
    <w:rsid w:val="2A5B084F"/>
    <w:rsid w:val="2A7A10F3"/>
    <w:rsid w:val="2AA661B2"/>
    <w:rsid w:val="2B675DBA"/>
    <w:rsid w:val="2BEA663B"/>
    <w:rsid w:val="2C627AC8"/>
    <w:rsid w:val="2CBB611B"/>
    <w:rsid w:val="2D7B5115"/>
    <w:rsid w:val="2DBC2E0A"/>
    <w:rsid w:val="2F2F0429"/>
    <w:rsid w:val="2F5853CC"/>
    <w:rsid w:val="2F666E25"/>
    <w:rsid w:val="2F7941FC"/>
    <w:rsid w:val="2FB478F7"/>
    <w:rsid w:val="2FC95D81"/>
    <w:rsid w:val="2FD31BD9"/>
    <w:rsid w:val="303B299D"/>
    <w:rsid w:val="304C19DB"/>
    <w:rsid w:val="31006CD9"/>
    <w:rsid w:val="31041AAE"/>
    <w:rsid w:val="310606C6"/>
    <w:rsid w:val="318656D8"/>
    <w:rsid w:val="34364FAB"/>
    <w:rsid w:val="34866250"/>
    <w:rsid w:val="36D23F74"/>
    <w:rsid w:val="37B54E1D"/>
    <w:rsid w:val="37B81BEC"/>
    <w:rsid w:val="38030316"/>
    <w:rsid w:val="38787AEA"/>
    <w:rsid w:val="38F92A66"/>
    <w:rsid w:val="3A8676EF"/>
    <w:rsid w:val="3B0E690B"/>
    <w:rsid w:val="3C3423EB"/>
    <w:rsid w:val="3C7008F2"/>
    <w:rsid w:val="3D7D6029"/>
    <w:rsid w:val="3DC84A9A"/>
    <w:rsid w:val="3DDB5597"/>
    <w:rsid w:val="3DFE6052"/>
    <w:rsid w:val="3E216BC0"/>
    <w:rsid w:val="3EF24ED3"/>
    <w:rsid w:val="3FB21705"/>
    <w:rsid w:val="3FE77A82"/>
    <w:rsid w:val="3FFB5595"/>
    <w:rsid w:val="4017186C"/>
    <w:rsid w:val="40E1788E"/>
    <w:rsid w:val="412B3BD0"/>
    <w:rsid w:val="41711287"/>
    <w:rsid w:val="435726A3"/>
    <w:rsid w:val="43F7549F"/>
    <w:rsid w:val="44074471"/>
    <w:rsid w:val="458E6197"/>
    <w:rsid w:val="468E2CEF"/>
    <w:rsid w:val="46915076"/>
    <w:rsid w:val="47007902"/>
    <w:rsid w:val="477A6ABF"/>
    <w:rsid w:val="48C41C3A"/>
    <w:rsid w:val="49E31F98"/>
    <w:rsid w:val="4A7F5F33"/>
    <w:rsid w:val="4AB27069"/>
    <w:rsid w:val="4AE15F12"/>
    <w:rsid w:val="4B1B2583"/>
    <w:rsid w:val="4B215EC8"/>
    <w:rsid w:val="4BC77A94"/>
    <w:rsid w:val="4C7B4010"/>
    <w:rsid w:val="4D4A51B9"/>
    <w:rsid w:val="4E115DEF"/>
    <w:rsid w:val="4E306D68"/>
    <w:rsid w:val="4EB20057"/>
    <w:rsid w:val="4F3E14BF"/>
    <w:rsid w:val="4FB67A4E"/>
    <w:rsid w:val="4FDA352F"/>
    <w:rsid w:val="50D85556"/>
    <w:rsid w:val="515E7A70"/>
    <w:rsid w:val="517B4F66"/>
    <w:rsid w:val="51CF4C93"/>
    <w:rsid w:val="5209190E"/>
    <w:rsid w:val="52961311"/>
    <w:rsid w:val="53B264F4"/>
    <w:rsid w:val="54117BA3"/>
    <w:rsid w:val="54415A83"/>
    <w:rsid w:val="54561298"/>
    <w:rsid w:val="54B57A63"/>
    <w:rsid w:val="56C12D9E"/>
    <w:rsid w:val="577B5528"/>
    <w:rsid w:val="57FC275F"/>
    <w:rsid w:val="587B3035"/>
    <w:rsid w:val="59F138CC"/>
    <w:rsid w:val="5A3A7FF0"/>
    <w:rsid w:val="5ACF512A"/>
    <w:rsid w:val="5ADD201B"/>
    <w:rsid w:val="5B460243"/>
    <w:rsid w:val="5B4A21F6"/>
    <w:rsid w:val="5BE666FD"/>
    <w:rsid w:val="5DE8013D"/>
    <w:rsid w:val="5EB66D4F"/>
    <w:rsid w:val="5F7F08F6"/>
    <w:rsid w:val="601F6302"/>
    <w:rsid w:val="619F122B"/>
    <w:rsid w:val="61BA712C"/>
    <w:rsid w:val="6212502F"/>
    <w:rsid w:val="63257394"/>
    <w:rsid w:val="63B9340E"/>
    <w:rsid w:val="63F37A6E"/>
    <w:rsid w:val="6455458D"/>
    <w:rsid w:val="64A413FD"/>
    <w:rsid w:val="670443C7"/>
    <w:rsid w:val="678341C5"/>
    <w:rsid w:val="691C4782"/>
    <w:rsid w:val="692C1847"/>
    <w:rsid w:val="698F20E1"/>
    <w:rsid w:val="69B26CE3"/>
    <w:rsid w:val="69C06968"/>
    <w:rsid w:val="69CB1013"/>
    <w:rsid w:val="6BC46931"/>
    <w:rsid w:val="6D0D7448"/>
    <w:rsid w:val="6D2076E2"/>
    <w:rsid w:val="6E114025"/>
    <w:rsid w:val="6E3C39C3"/>
    <w:rsid w:val="6E772282"/>
    <w:rsid w:val="6F3D2C05"/>
    <w:rsid w:val="6FC846B0"/>
    <w:rsid w:val="70391CB1"/>
    <w:rsid w:val="704A2834"/>
    <w:rsid w:val="711229A3"/>
    <w:rsid w:val="71AD6345"/>
    <w:rsid w:val="71BF53D6"/>
    <w:rsid w:val="71ED654D"/>
    <w:rsid w:val="720C154E"/>
    <w:rsid w:val="72150491"/>
    <w:rsid w:val="72670CB9"/>
    <w:rsid w:val="72F025FA"/>
    <w:rsid w:val="735340BF"/>
    <w:rsid w:val="73656151"/>
    <w:rsid w:val="745449E5"/>
    <w:rsid w:val="74747C07"/>
    <w:rsid w:val="74FC0165"/>
    <w:rsid w:val="75090420"/>
    <w:rsid w:val="762A42EA"/>
    <w:rsid w:val="77192436"/>
    <w:rsid w:val="77350F71"/>
    <w:rsid w:val="7745190F"/>
    <w:rsid w:val="775E2450"/>
    <w:rsid w:val="77FF0EFA"/>
    <w:rsid w:val="793C5B9D"/>
    <w:rsid w:val="7BFF665F"/>
    <w:rsid w:val="7D2202C4"/>
    <w:rsid w:val="7E1B7B2A"/>
    <w:rsid w:val="7EC040B2"/>
    <w:rsid w:val="7F312660"/>
    <w:rsid w:val="7F7B650B"/>
    <w:rsid w:val="7F88599B"/>
    <w:rsid w:val="7FAD3488"/>
    <w:rsid w:val="7FF9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spacing w:after="120"/>
      <w:ind w:leftChars="200" w:firstLine="420" w:firstLineChars="200"/>
      <w:jc w:val="left"/>
    </w:pPr>
    <w:rPr>
      <w:rFonts w:ascii="Times New Roman" w:hAnsi="Times New Roman"/>
    </w:rPr>
  </w:style>
  <w:style w:type="paragraph" w:styleId="3">
    <w:name w:val="Body Text Indent"/>
    <w:basedOn w:val="1"/>
    <w:next w:val="4"/>
    <w:qFormat/>
    <w:uiPriority w:val="0"/>
    <w:pPr>
      <w:ind w:left="420"/>
    </w:pPr>
  </w:style>
  <w:style w:type="paragraph" w:styleId="4">
    <w:name w:val="envelope return"/>
    <w:basedOn w:val="1"/>
    <w:qFormat/>
    <w:uiPriority w:val="0"/>
    <w:pPr>
      <w:autoSpaceDE/>
      <w:autoSpaceDN/>
      <w:adjustRightInd/>
      <w:snapToGrid w:val="0"/>
      <w:jc w:val="both"/>
    </w:pPr>
    <w:rPr>
      <w:rFonts w:ascii="Arial" w:hAnsi="Arial" w:cs="Arial"/>
      <w:kern w:val="2"/>
      <w:sz w:val="21"/>
    </w:rPr>
  </w:style>
  <w:style w:type="paragraph" w:styleId="7">
    <w:name w:val="Body Text First Indent"/>
    <w:basedOn w:val="8"/>
    <w:qFormat/>
    <w:uiPriority w:val="99"/>
    <w:pPr>
      <w:tabs>
        <w:tab w:val="left" w:pos="562"/>
        <w:tab w:val="left" w:pos="3372"/>
        <w:tab w:val="left" w:pos="3653"/>
      </w:tabs>
      <w:ind w:firstLine="420" w:firstLineChars="100"/>
    </w:pPr>
  </w:style>
  <w:style w:type="paragraph" w:styleId="8">
    <w:name w:val="Body Text"/>
    <w:basedOn w:val="1"/>
    <w:qFormat/>
    <w:uiPriority w:val="0"/>
    <w:pPr>
      <w:tabs>
        <w:tab w:val="left" w:pos="562"/>
        <w:tab w:val="left" w:pos="3372"/>
        <w:tab w:val="left" w:pos="3653"/>
      </w:tabs>
    </w:pPr>
    <w:rPr>
      <w:sz w:val="24"/>
    </w:rPr>
  </w:style>
  <w:style w:type="paragraph" w:styleId="9">
    <w:name w:val="Normal Indent"/>
    <w:basedOn w:val="1"/>
    <w:qFormat/>
    <w:uiPriority w:val="0"/>
    <w:pPr>
      <w:ind w:firstLine="420"/>
    </w:pPr>
    <w:rPr>
      <w:szCs w:val="20"/>
    </w:rPr>
  </w:style>
  <w:style w:type="paragraph" w:styleId="10">
    <w:name w:val="annotation text"/>
    <w:basedOn w:val="1"/>
    <w:qFormat/>
    <w:uiPriority w:val="0"/>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Normal (Web)"/>
    <w:basedOn w:val="1"/>
    <w:qFormat/>
    <w:uiPriority w:val="0"/>
    <w:rPr>
      <w:sz w:val="24"/>
    </w:rPr>
  </w:style>
  <w:style w:type="character" w:styleId="17">
    <w:name w:val="Hyperlink"/>
    <w:qFormat/>
    <w:uiPriority w:val="99"/>
    <w:rPr>
      <w:color w:val="0000FF"/>
      <w:u w:val="single"/>
    </w:rPr>
  </w:style>
  <w:style w:type="character" w:styleId="18">
    <w:name w:val="annotation reference"/>
    <w:qFormat/>
    <w:uiPriority w:val="0"/>
    <w:rPr>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_Style 3"/>
    <w:basedOn w:val="1"/>
    <w:qFormat/>
    <w:uiPriority w:val="0"/>
    <w:pPr>
      <w:ind w:firstLine="420" w:firstLineChars="200"/>
    </w:pPr>
    <w:rPr>
      <w:sz w:val="20"/>
    </w:rPr>
  </w:style>
  <w:style w:type="paragraph" w:customStyle="1" w:styleId="22">
    <w:name w:val="List Paragraph"/>
    <w:basedOn w:val="1"/>
    <w:qFormat/>
    <w:uiPriority w:val="34"/>
    <w:pPr>
      <w:ind w:firstLine="420" w:firstLineChars="200"/>
    </w:pPr>
  </w:style>
  <w:style w:type="paragraph" w:customStyle="1" w:styleId="23">
    <w:name w:val="列出段落1"/>
    <w:basedOn w:val="1"/>
    <w:qFormat/>
    <w:uiPriority w:val="34"/>
    <w:pPr>
      <w:ind w:firstLine="420" w:firstLineChars="200"/>
    </w:pPr>
  </w:style>
  <w:style w:type="paragraph" w:customStyle="1" w:styleId="24">
    <w:name w:val="保留正文"/>
    <w:basedOn w:val="8"/>
    <w:qFormat/>
    <w:uiPriority w:val="0"/>
    <w:pPr>
      <w:keepNext/>
      <w:spacing w:after="160"/>
    </w:pPr>
    <w:rPr>
      <w:sz w:val="21"/>
    </w:rPr>
  </w:style>
  <w:style w:type="character" w:customStyle="1" w:styleId="25">
    <w:name w:val="NormalCharacter"/>
    <w:semiHidden/>
    <w:qFormat/>
    <w:uiPriority w:val="99"/>
  </w:style>
  <w:style w:type="paragraph" w:customStyle="1" w:styleId="26">
    <w:name w:val="正文正"/>
    <w:basedOn w:val="1"/>
    <w:qFormat/>
    <w:uiPriority w:val="0"/>
    <w:pPr>
      <w:spacing w:line="560" w:lineRule="exact"/>
      <w:ind w:firstLine="561"/>
    </w:pPr>
    <w:rPr>
      <w:rFonts w:eastAsia="仿宋_GB2312"/>
      <w:sz w:val="28"/>
      <w:szCs w:val="24"/>
    </w:rPr>
  </w:style>
  <w:style w:type="paragraph" w:customStyle="1" w:styleId="27">
    <w:name w:val="表格文字"/>
    <w:basedOn w:val="1"/>
    <w:qFormat/>
    <w:uiPriority w:val="0"/>
    <w:pPr>
      <w:spacing w:before="25" w:after="25"/>
      <w:jc w:val="left"/>
    </w:pPr>
    <w:rPr>
      <w:bCs/>
      <w:spacing w:val="10"/>
      <w:kern w:val="0"/>
      <w:szCs w:val="20"/>
    </w:rPr>
  </w:style>
  <w:style w:type="character" w:customStyle="1" w:styleId="28">
    <w:name w:val="10"/>
    <w:basedOn w:val="16"/>
    <w:qFormat/>
    <w:uiPriority w:val="0"/>
    <w:rPr>
      <w:rFonts w:hint="default" w:ascii="Times New Roman" w:hAnsi="Times New Roman" w:cs="Times New Roman"/>
    </w:rPr>
  </w:style>
  <w:style w:type="paragraph" w:customStyle="1" w:styleId="29">
    <w:name w:val="列表段落2"/>
    <w:basedOn w:val="1"/>
    <w:unhideWhenUsed/>
    <w:qFormat/>
    <w:uiPriority w:val="99"/>
    <w:pPr>
      <w:widowControl w:val="0"/>
      <w:ind w:firstLine="420" w:firstLineChars="200"/>
      <w:jc w:val="both"/>
    </w:pPr>
    <w:rPr>
      <w:rFonts w:ascii="Calibri" w:hAnsi="Calibri" w:eastAsia="宋体" w:cs="Times New Roman"/>
      <w:kern w:val="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2022-06-28T07:19:00Z</cp:lastPrinted>
  <dcterms:modified xsi:type="dcterms:W3CDTF">2025-02-13T02:18:41Z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