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竞</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2025007    </w:t>
      </w:r>
    </w:p>
    <w:p>
      <w:pPr>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cstheme="minorEastAsia"/>
          <w:sz w:val="32"/>
          <w:szCs w:val="32"/>
          <w:u w:val="single"/>
          <w:lang w:val="en-US" w:eastAsia="zh-CN"/>
        </w:rPr>
        <w:t>广东省河源监狱门禁设备采购项目</w:t>
      </w:r>
      <w:r>
        <w:rPr>
          <w:rFonts w:hint="eastAsia" w:asciiTheme="minorEastAsia" w:hAnsiTheme="minorEastAsia" w:eastAsiaTheme="minorEastAsia" w:cstheme="minorEastAsia"/>
          <w:sz w:val="32"/>
          <w:szCs w:val="32"/>
          <w:u w:val="single"/>
          <w:lang w:val="en-US" w:eastAsia="zh-CN"/>
        </w:rPr>
        <w:t xml:space="preserve">  </w:t>
      </w:r>
    </w:p>
    <w:p>
      <w:pPr>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竞价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0"/>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2</w:t>
      </w:r>
      <w:r>
        <w:rPr>
          <w:rFonts w:hint="eastAsia"/>
          <w:sz w:val="32"/>
          <w:szCs w:val="32"/>
        </w:rPr>
        <w:t>月</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pgSz w:w="11906" w:h="16838"/>
          <w:pgMar w:top="1701" w:right="1587" w:bottom="1701" w:left="1531" w:header="851" w:footer="992" w:gutter="0"/>
          <w:pgNumType w:fmt="decimal" w:start="1"/>
          <w:cols w:space="0" w:num="1"/>
          <w:rtlGutter w:val="0"/>
          <w:docGrid w:type="lines" w:linePitch="312" w:charSpace="0"/>
        </w:sect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7"/>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2</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0"/>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val="en-US" w:eastAsia="zh-CN"/>
        </w:rPr>
        <w:t>竞</w:t>
      </w:r>
      <w:r>
        <w:rPr>
          <w:rFonts w:hint="eastAsia"/>
          <w:b/>
          <w:bCs/>
          <w:lang w:eastAsia="zh-CN"/>
        </w:rPr>
        <w:t>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val="en-US" w:eastAsia="zh-CN"/>
        </w:rPr>
        <w:t>竞</w:t>
      </w:r>
      <w:r>
        <w:rPr>
          <w:rFonts w:hint="eastAsia"/>
          <w:lang w:eastAsia="zh-CN"/>
        </w:rPr>
        <w:t>价</w:t>
      </w:r>
      <w:r>
        <w:rPr>
          <w:rFonts w:hint="eastAsia"/>
        </w:rPr>
        <w:t>的供应商应承担所有与准备和参加</w:t>
      </w:r>
      <w:r>
        <w:rPr>
          <w:rFonts w:hint="eastAsia"/>
          <w:lang w:eastAsia="zh-CN"/>
        </w:rPr>
        <w:t>竞价</w:t>
      </w:r>
      <w:r>
        <w:rPr>
          <w:rFonts w:hint="eastAsia"/>
        </w:rPr>
        <w:t>有关的费用，不论</w:t>
      </w:r>
      <w:r>
        <w:rPr>
          <w:rFonts w:hint="eastAsia"/>
          <w:lang w:eastAsia="zh-CN"/>
        </w:rPr>
        <w:t>竞价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竞价</w:t>
      </w:r>
      <w:r>
        <w:rPr>
          <w:rFonts w:hint="eastAsia"/>
        </w:rPr>
        <w:t>附件的格式填写，不得增加或删除表格内容。除单价、金额或项目要求填写的内容外，不得擅自改动</w:t>
      </w:r>
      <w:r>
        <w:rPr>
          <w:rFonts w:hint="eastAsia"/>
          <w:lang w:eastAsia="zh-CN"/>
        </w:rPr>
        <w:t>竞价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竞价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竞价</w:t>
      </w:r>
      <w:r>
        <w:rPr>
          <w:rFonts w:hint="eastAsia"/>
        </w:rPr>
        <w:t>采购失败，采购人将重新采购，届时采购人有权根据项目具体情况，决定重新采购项目的</w:t>
      </w:r>
      <w:r>
        <w:rPr>
          <w:rFonts w:hint="eastAsia"/>
          <w:lang w:eastAsia="zh-CN"/>
        </w:rPr>
        <w:t>采购人</w:t>
      </w:r>
      <w:r>
        <w:rPr>
          <w:rFonts w:hint="eastAsia"/>
        </w:rPr>
        <w:t>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竞价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竞价</w:t>
      </w:r>
      <w:r>
        <w:rPr>
          <w:rFonts w:hint="eastAsia"/>
        </w:rPr>
        <w:t>的供应商所提交的</w:t>
      </w:r>
      <w:r>
        <w:rPr>
          <w:rFonts w:hint="eastAsia"/>
          <w:lang w:eastAsia="zh-CN"/>
        </w:rPr>
        <w:t>竞价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竞价</w:t>
      </w:r>
      <w:r>
        <w:rPr>
          <w:rFonts w:hint="eastAsia"/>
        </w:rPr>
        <w:t>的供应商应认真阅读、并充分理解</w:t>
      </w:r>
      <w:r>
        <w:rPr>
          <w:rFonts w:hint="eastAsia"/>
          <w:lang w:eastAsia="zh-CN"/>
        </w:rPr>
        <w:t>竞价</w:t>
      </w:r>
      <w:r>
        <w:rPr>
          <w:rFonts w:hint="eastAsia"/>
        </w:rPr>
        <w:t>文件的全部内容（包括所有的补充、修改内容重要事项、格式、条款、服务要求和技术规范、参数及要求等）。供应商没有按照</w:t>
      </w:r>
      <w:r>
        <w:rPr>
          <w:rFonts w:hint="eastAsia"/>
          <w:lang w:eastAsia="zh-CN"/>
        </w:rPr>
        <w:t>竞价</w:t>
      </w:r>
      <w:r>
        <w:rPr>
          <w:rFonts w:hint="eastAsia"/>
        </w:rPr>
        <w:t>文件要求提交全部资料，或者参与</w:t>
      </w:r>
      <w:r>
        <w:rPr>
          <w:rFonts w:hint="eastAsia"/>
          <w:lang w:eastAsia="zh-CN"/>
        </w:rPr>
        <w:t>竞价</w:t>
      </w:r>
      <w:r>
        <w:rPr>
          <w:rFonts w:hint="eastAsia"/>
        </w:rPr>
        <w:t>所上传的文件没有对</w:t>
      </w:r>
      <w:r>
        <w:rPr>
          <w:rFonts w:hint="eastAsia"/>
          <w:lang w:eastAsia="zh-CN"/>
        </w:rPr>
        <w:t>竞价</w:t>
      </w:r>
      <w:r>
        <w:rPr>
          <w:rFonts w:hint="eastAsia"/>
        </w:rPr>
        <w:t>文件在各方面都作出实质性响应是供应商的风险，有可能导致其</w:t>
      </w:r>
      <w:r>
        <w:rPr>
          <w:rFonts w:hint="eastAsia"/>
          <w:lang w:eastAsia="zh-CN"/>
        </w:rPr>
        <w:t>竞价</w:t>
      </w:r>
      <w:r>
        <w:rPr>
          <w:rFonts w:hint="eastAsia"/>
        </w:rPr>
        <w:t>被拒绝，或被认定为无效</w:t>
      </w:r>
      <w:r>
        <w:rPr>
          <w:rFonts w:hint="eastAsia"/>
          <w:lang w:eastAsia="zh-CN"/>
        </w:rPr>
        <w:t>竞价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5"/>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cstheme="minorEastAsia"/>
          <w:sz w:val="21"/>
          <w:szCs w:val="21"/>
          <w:lang w:eastAsia="zh-CN"/>
        </w:rPr>
        <w:t>竞价</w:t>
      </w:r>
      <w:r>
        <w:rPr>
          <w:rFonts w:hint="eastAsia" w:asciiTheme="minorEastAsia" w:hAnsiTheme="minorEastAsia" w:eastAsiaTheme="minorEastAsia" w:cstheme="minorEastAsia"/>
          <w:sz w:val="21"/>
          <w:szCs w:val="21"/>
        </w:rPr>
        <w:t>文件资料承担责任。</w:t>
      </w:r>
    </w:p>
    <w:p>
      <w:pPr>
        <w:pStyle w:val="15"/>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竞价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竞价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竞价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竞价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竞价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竞价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0"/>
        <w:pageBreakBefore w:val="0"/>
        <w:kinsoku/>
        <w:wordWrap/>
        <w:overflowPunct/>
        <w:topLinePunct w:val="0"/>
        <w:bidi w:val="0"/>
        <w:spacing w:line="340" w:lineRule="exact"/>
        <w:rPr>
          <w:rFonts w:hint="eastAsia"/>
          <w:lang w:eastAsia="zh-CN"/>
        </w:rPr>
      </w:pPr>
    </w:p>
    <w:p>
      <w:pPr>
        <w:pStyle w:val="20"/>
        <w:pageBreakBefore w:val="0"/>
        <w:kinsoku/>
        <w:wordWrap/>
        <w:overflowPunct/>
        <w:topLinePunct w:val="0"/>
        <w:bidi w:val="0"/>
        <w:spacing w:line="340" w:lineRule="exact"/>
        <w:rPr>
          <w:rFonts w:hint="eastAsia"/>
          <w:lang w:eastAsia="zh-CN"/>
        </w:rPr>
      </w:pPr>
    </w:p>
    <w:p>
      <w:pPr>
        <w:pStyle w:val="20"/>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pageBreakBefore w:val="0"/>
        <w:kinsoku/>
        <w:wordWrap/>
        <w:overflowPunct/>
        <w:topLinePunct w:val="0"/>
        <w:bidi w:val="0"/>
        <w:spacing w:line="340" w:lineRule="exact"/>
        <w:ind w:left="0" w:leftChars="0" w:firstLine="422" w:firstLineChars="200"/>
        <w:rPr>
          <w:rFonts w:hint="eastAsia"/>
          <w:b/>
          <w:bCs/>
          <w:lang w:val="en-US" w:eastAsia="zh-CN"/>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一、项目概况</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采购人拟对部分管理区域采购安装可视对讲系统，同时对现有门锁进行改造，实现实时对讲通话及门禁控制。</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二、预算金额</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人民币108464.8元。</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三、标的清单</w:t>
      </w:r>
    </w:p>
    <w:tbl>
      <w:tblPr>
        <w:tblStyle w:val="18"/>
        <w:tblW w:w="9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
        <w:gridCol w:w="694"/>
        <w:gridCol w:w="1048"/>
        <w:gridCol w:w="3864"/>
        <w:gridCol w:w="564"/>
        <w:gridCol w:w="588"/>
        <w:gridCol w:w="1098"/>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53"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序号</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项目</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品牌/</w:t>
            </w:r>
          </w:p>
          <w:p>
            <w:pPr>
              <w:keepNext w:val="0"/>
              <w:keepLines w:val="0"/>
              <w:widowControl/>
              <w:suppressLineNumbers w:val="0"/>
              <w:jc w:val="center"/>
              <w:textAlignment w:val="center"/>
              <w:rPr>
                <w:rFonts w:hint="eastAsia"/>
                <w:b/>
                <w:bCs/>
                <w:lang w:val="en-US" w:eastAsia="zh-CN"/>
              </w:rPr>
            </w:pPr>
            <w:r>
              <w:rPr>
                <w:rFonts w:hint="eastAsia"/>
                <w:b/>
                <w:bCs/>
                <w:lang w:val="en-US" w:eastAsia="zh-CN"/>
              </w:rPr>
              <w:t>型号</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参数/功能描述</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数量</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单位</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b/>
                <w:bCs/>
                <w:lang w:val="en-US" w:eastAsia="zh-CN"/>
              </w:rPr>
            </w:pPr>
            <w:r>
              <w:rPr>
                <w:rFonts w:hint="eastAsia"/>
                <w:b/>
                <w:bCs/>
                <w:lang w:val="en-US" w:eastAsia="zh-CN"/>
              </w:rPr>
              <w:t>单价最高限价（元）</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总价限价</w:t>
            </w:r>
          </w:p>
          <w:p>
            <w:pPr>
              <w:keepNext w:val="0"/>
              <w:keepLines w:val="0"/>
              <w:widowControl/>
              <w:suppressLineNumbers w:val="0"/>
              <w:jc w:val="center"/>
              <w:textAlignment w:val="center"/>
              <w:rPr>
                <w:rFonts w:hint="default"/>
                <w:b/>
                <w:bCs/>
                <w:lang w:val="en-US" w:eastAsia="zh-CN"/>
              </w:rPr>
            </w:pPr>
            <w:r>
              <w:rPr>
                <w:rFonts w:hint="eastAsia"/>
                <w:b/>
                <w:bCs/>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0"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可视对讲机</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海康威视DS-KV8223-M1</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【技术参数】1. 操作系统：嵌入式操作系统；2. 屏幕尺寸：无屏；3. 屏幕分辨率：无；4. 摄像头参数：CMOS低照度200w像素高清彩色摄像头，红外补光；5. 操作方式：2个实体按键；6. 存储容量：无；7. 认证方式：无；8. 通信方式：有线网络；9. 网络协议：支持SIP2.0、TCP/IP、RTSP、isup协议、isapi协议、SDK协议、萤石协议；10. 硬件接口：RJ45*1，电源接口*1，RS485*1，IO输入*2，继电器接口*1，音频输入接口*1，音频输出接口*1，TF/micro SD卡接口*1；11. 安装方式：明装；12. 供电方式：DC 12V /标准POE；13. 设备功耗：≤8W；14. 工作温度：-30℃-＋53℃；15. 工作湿度：10%-95%</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16. 防护等级：IP65、IK08；17. 产品尺寸：174mm*91mm*29mm</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【功能特性】：1. 采用监控级200W高清摄像头（宽动态，120度超广角），支持作为安防监控点7*24全天候预览、录像；2. 采用智能补光，设备自动判断环境光照实施红外补光；3. 自带门禁功能，实现单元门的电控；4. 支持外接一个RS485读卡器，作为出门读卡使用；5. 支持Web管理，支持参数配置、系统维护、视频预览、人员信息查询等功能；6. 支持与室内机、中心管理机之间双向对讲；7. 支持云眸社区接入，配合云眸社区APP实现云对讲功能；8. 支持VOIP电话网关功能，通过云眸配置业主手机号，在室内机和APP无应答时可拨打业主电话；9. 支持一台主机带多台副机管理，同单元最多支持1拖7共8台门口机；10. 支持报警功能，设备带门磁报警接入、防拆报警；11. 采用先进的硬件噪声抑制与回声消除技术，保证话音质量清晰明亮；12. 工程安装便利性（支持中心远程升级、本地Web管理，支持刷机批量配置）</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¥1,499.84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¥52,494.40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4"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管理机</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海康威视DS-KM9503</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【技术参数】1.显示屏：10.1英寸IPS彩色触摸屏；2.显示屏分辨率：1280*800；3.摄像头：CMOS 200W像素，可开关；4.操作方式：触摸屏幕+触摸按键；5.网络协议：TCP/IP 、RTSP、SIP2.0；6.硬件接口：RJ45*1，RS485*1，USB*3（其中一个是下载口），IO输入*2，IO输出*2，TF拓展接口*1，HDMI*1；7.供电方式：DC12V(自带电源适配器)或标准POE；8.设备功耗：≤12W；9.工作温度： -10 °C-+50 °C；10.工作湿度：10%-90%；11.防护等级：IP54，室内使用；12.安装方式：桌面式安装或壁挂式安装；13.产品尺寸：292mm*166mm*31mm（长*宽*厚）；</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功能特性】1.视频监控：支持预览权限范围内公共摄像头及门口机实时画面，可4路720P画面同时监视，可点击门口机画面进行对讲；2.对讲功能：支持与门口机、室内机及其他管理机之间的可视对讲，支持遇忙呼叫等待、呼叫转移功能；3.多方对讲：支持拉取多台室内机、管理机设备进行多方对讲，最大支持16台设备；4.副机管理：支持1主64副管理机，多管理机场景支持群呼和按优先级呼叫；5.录音录像：支持视频监视时抓拍、录像监视画面，对讲通话时录音；6.远程开门：支持在被门口机呼叫或远程监视门口机时远程开锁；7.广播功能：支持实时广播、定时广播功能；8.报警接收：实时接收、显示业主家庭室内机发送的报警信息；9.SIP服务：提供10000路SIP服务，节省成本，优化产品系统架构；10.外设拓展：支持拓展鹅颈话筒、音箱&amp;指纹模块、TF卡，用于提高音量，扩展容量，提高安全性；11.安卓系统，支持第三方app安装（2个），便于拓展个性业务应用；12.设备管理：设备支持对室内机校时，支持查看门口机、室内机在线状态可对门口机、室内机升级；13.Web管理：设备支持web进行参数配置、账号管理、系统维护等操作；</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¥4,461.16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¥4,461.16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对讲机电源</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绿电LD-12360 LRS</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额定功率：360 W；输入电压：180-264V；输出电压：12V；输出电流：30A</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¥207.83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¥1,662.64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电机锁</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海康DS-K4E101</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单头静音锁；带指示灯状态反馈；支持钥匙开门；供电DC12V。</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¥361.73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¥6,149.41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单门磁力锁</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海康DS-K4H450PSC</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500公斤单门磁力锁；带门磁反馈信号；带指示灯状态反馈；供电DC12V。</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¥636.21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¥636.21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闭门器</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海康DS-K4DC104</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铝合金材质；液压模式，适合门重：60-85KG。</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¥191.44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82"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24口接入交换机</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华为S5735S-L24T4S-QA2</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设备要求：交换容量≥330Gbps，包转发率≥105Mpps，千兆电口≥24个，千兆SFP+光口≥4个。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二层功能：支持4K个VLAN，支持Voice VLAN，基于端口的VLAN，基于MAC的VLAN，基于协议的VLAN。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三层功能：支持RIP、RIPng、OSPF路由协议。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安全功能：支持防止DOS、ARP攻击功能、ICMP防攻击，支持端口隔离、端口安全、Sticky MAC，支持IP/Port/MAC的绑定功能，支持CPU防攻击。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QOS：支持对端口接收报文速率和发送报文速率进行限制，支持SP、WRR、SP+WRR等队列调度算法，支持报文的802.1p和DSCP优先级重新标记。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管理维护：支持SNMP v1/v2/v3、Telnet、RMON，支持通过命令行、Web、中文图形化配置软件等方式进行配置和管理。</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¥1,551.05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¥12,408.40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7"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超五类屏蔽4对双绞线</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唯康</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1.超过 ANSI/TIA-568-C.2 ， ISO/IEC11801:2002, EN5013:2002 中的要求；2.品质稳定并可传输达100MHz，单股线径23AWG,4对,8芯，每芯带有彩色护套，十字分割；3.结构：FTP；4.导体直径 0.57±0.005mm；5.工作过程中（最小）弯曲半径 65mm；6.护套：聚氯乙烯 (PVC) ；7.产品包装：纸箱包装（305米）；8.选用高质量的材料制成，保证25年性能不变，生产厂家提供25年质保承诺和授权函。</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¥3.82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¥4,011.00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珠江</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RVV2×1.00</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¥3.39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¥3,559.50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定制值班台面</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根据新增对讲管理机尺寸重新定制武警值班室四联操作台钢板桌面，桌面面积为2.4*0.9平方米。</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¥1,840.00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¥1,840.00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1"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安装以及辅材费用</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门禁控制设备以及配套辅材，含暗敷施工、定制实施，含PVC管材、螺丝、扎带、胶布、接插件、安装底盒等各类施工辅材，满足项目建设需求；需要在武警值班室内网电脑安装海康iVMS-4200客户端，并将对讲分机及管理机添加到客户端进行统一管理。</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¥257.26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¥9,004.10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以上小计</w:t>
            </w:r>
          </w:p>
        </w:tc>
        <w:tc>
          <w:tcPr>
            <w:tcW w:w="7162" w:type="dxa"/>
            <w:gridSpan w:val="5"/>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¥96,418.26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B</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措施合计</w:t>
            </w:r>
          </w:p>
        </w:tc>
        <w:tc>
          <w:tcPr>
            <w:tcW w:w="7162" w:type="dxa"/>
            <w:gridSpan w:val="5"/>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绿色施工安全防护措施费+其他措施费</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¥4,616.43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C</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其他项目合计</w:t>
            </w:r>
          </w:p>
        </w:tc>
        <w:tc>
          <w:tcPr>
            <w:tcW w:w="7162" w:type="dxa"/>
            <w:gridSpan w:val="5"/>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预算包干费等</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¥1,290.59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税费</w:t>
            </w:r>
          </w:p>
        </w:tc>
        <w:tc>
          <w:tcPr>
            <w:tcW w:w="7162" w:type="dxa"/>
            <w:gridSpan w:val="5"/>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(A+B+C)*6%</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¥6,139.52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162" w:type="dxa"/>
            <w:gridSpan w:val="5"/>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A+B+C+D</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¥108,464.80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9379" w:type="dxa"/>
            <w:gridSpan w:val="8"/>
            <w:tcBorders>
              <w:tl2br w:val="nil"/>
              <w:tr2bl w:val="nil"/>
            </w:tcBorders>
            <w:tcMar>
              <w:top w:w="15" w:type="dxa"/>
              <w:left w:w="15" w:type="dxa"/>
              <w:right w:w="15" w:type="dxa"/>
            </w:tcMar>
            <w:vAlign w:val="center"/>
          </w:tcPr>
          <w:p>
            <w:pPr>
              <w:pStyle w:val="14"/>
              <w:rPr>
                <w:rFonts w:hint="default"/>
                <w:lang w:val="en-US"/>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注：.以上含2年系统运维，安装调试、人工和税金等费用。</w:t>
            </w:r>
          </w:p>
        </w:tc>
      </w:tr>
    </w:tbl>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四、服务内容</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（一）安装可视对讲分机，对现有电子门锁进行改造，同时预留1部用于日常紧急更替，共计33部可视对讲分机。</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（二）安装可视对讲分机，安装1套电子门锁，共计安装2部可视对讲分机，1套电子门锁。</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（三）安装可视对讲管理机1部，实现与各门禁点的实时对讲通话及门禁控制。</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（四）在8个部位各安装1台24口交换机，共计安装8台24口交换机。</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（五）根据新增对讲管理机尺寸，重新定制值班四联操作台钢板桌面。</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五、服务标准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按项目清单、服务内容要求配备设备，规范铺设线路，对设备进行安装调试，对接门禁管理平台，确保设备和系统正常运行。</w:t>
      </w:r>
    </w:p>
    <w:p>
      <w:pPr>
        <w:pageBreakBefore w:val="0"/>
        <w:numPr>
          <w:ilvl w:val="0"/>
          <w:numId w:val="2"/>
        </w:numPr>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设备材料的包装必须是制造商原厂包装，其包装均应有良好的防湿、防锈、防潮、防雨、防腐及防碰撞的措施。凡由于包装不良造成的损失和由此产生的费用均由供应商承担。</w:t>
      </w:r>
    </w:p>
    <w:p>
      <w:pPr>
        <w:pageBreakBefore w:val="0"/>
        <w:numPr>
          <w:numId w:val="0"/>
        </w:numPr>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（二）设备调试、系统对接必须能确保设备在相应系统内能顺畅、高效运行。</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六、（交付）期限</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合同签订之日起45个自然日内。</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七、供应商资格条件</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（一）具有独立承担民事责任的在中华人民共和国境内注册的法人或其他组织。 </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（二）具有履行本项目所必需的设备和专业技术能力。 </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八、款项支付</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项目验收合格，收到供应商有效发票后15日内完成合同金额支付。</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九、售后保障</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本项目自验收合格之日起质保2年。供应商签订合同后5个工作日内，需缴纳合同总价的3%作为履约保证金。履约保证金在项目验收合格后自动转为质量保证金，合同期满全额无息退回。质保期内，供应商为采购人免费更换和维修有缺陷或者故障的设备和线路，提供相应的系统和功能的技术支持，由此产生的一切费用均由供应商承担。如履行合同期间采购人发现供应商未按规定履行合同，采购人有权一次性扣除保证金，有权结束合作并立即终止合同（造成的损失由供应商承担），同时拒绝该供应商法人旗下所有公司参与采购人其它项目采购。</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十、验收标准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采购人根据有关国家行业所列标准及规范、规定、核对项目采购文件、清单、货物原厂证明、合同等材料，采购项目品牌、数量、质量、功能、安装工艺、对接测试情况和运行情况等均需符合要求。</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lang w:val="en-US" w:eastAsia="zh-CN"/>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0"/>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44"/>
          <w:szCs w:val="44"/>
          <w:lang w:val="en-US" w:eastAsia="zh-CN"/>
        </w:rPr>
      </w:pPr>
      <w:r>
        <w:rPr>
          <w:rFonts w:hint="eastAsia" w:ascii="宋体" w:hAnsi="宋体" w:cs="宋体"/>
          <w:b/>
          <w:bCs/>
          <w:sz w:val="44"/>
          <w:szCs w:val="44"/>
          <w:lang w:val="en-US" w:eastAsia="zh-CN"/>
        </w:rPr>
        <w:t>广东省河源监狱门禁设备采购项目</w:t>
      </w: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0"/>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pStyle w:val="2"/>
        <w:rPr>
          <w:rFonts w:hint="eastAsia"/>
          <w:lang w:val="en-US" w:eastAsia="zh-CN"/>
        </w:rPr>
      </w:pPr>
    </w:p>
    <w:p>
      <w:pPr>
        <w:pStyle w:val="2"/>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pStyle w:val="6"/>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ageBreakBefore w:val="0"/>
        <w:widowControl/>
        <w:numPr>
          <w:ilvl w:val="0"/>
          <w:numId w:val="3"/>
        </w:numPr>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资格性、符合性部分</w:t>
      </w:r>
    </w:p>
    <w:p>
      <w:pPr>
        <w:pStyle w:val="2"/>
        <w:numPr>
          <w:numId w:val="0"/>
        </w:numPr>
        <w:rPr>
          <w:rFonts w:hint="eastAsia"/>
          <w:lang w:val="en-US" w:eastAsia="zh-CN"/>
        </w:rPr>
      </w:pPr>
      <w:r>
        <w:rPr>
          <w:rFonts w:hint="eastAsia"/>
          <w:lang w:val="en-US" w:eastAsia="zh-CN"/>
        </w:rPr>
        <w:t>1.报价函</w:t>
      </w:r>
    </w:p>
    <w:p>
      <w:pPr>
        <w:numPr>
          <w:numId w:val="0"/>
        </w:numPr>
        <w:rPr>
          <w:rFonts w:hint="default"/>
          <w:lang w:val="en-US" w:eastAsia="zh-CN"/>
        </w:rPr>
      </w:pPr>
    </w:p>
    <w:p>
      <w:pPr>
        <w:pStyle w:val="9"/>
        <w:spacing w:line="360" w:lineRule="auto"/>
        <w:jc w:val="center"/>
        <w:rPr>
          <w:rFonts w:asciiTheme="minorEastAsia" w:hAnsiTheme="minorEastAsia" w:eastAsiaTheme="minorEastAsia" w:cstheme="minorEastAsia"/>
          <w:b/>
          <w:sz w:val="30"/>
          <w:szCs w:val="30"/>
        </w:rPr>
      </w:pPr>
      <w:r>
        <w:rPr>
          <w:rFonts w:hint="eastAsia" w:asciiTheme="minorEastAsia" w:hAnsiTheme="minorEastAsia" w:cstheme="minorEastAsia"/>
          <w:b/>
          <w:sz w:val="30"/>
          <w:szCs w:val="30"/>
          <w:lang w:val="en-US" w:eastAsia="zh-CN"/>
        </w:rPr>
        <w:t>报价承诺</w:t>
      </w:r>
      <w:r>
        <w:rPr>
          <w:rFonts w:hint="eastAsia" w:asciiTheme="minorEastAsia" w:hAnsiTheme="minorEastAsia" w:eastAsiaTheme="minorEastAsia" w:cstheme="minorEastAsia"/>
          <w:b/>
          <w:sz w:val="30"/>
          <w:szCs w:val="30"/>
          <w:lang w:val="en-US"/>
        </w:rPr>
        <w:t xml:space="preserve">函 </w:t>
      </w:r>
    </w:p>
    <w:p>
      <w:pPr>
        <w:spacing w:line="360" w:lineRule="auto"/>
        <w:rPr>
          <w:rFonts w:asciiTheme="minorEastAsia" w:hAnsiTheme="minorEastAsia" w:eastAsiaTheme="minorEastAsia" w:cstheme="minorEastAsia"/>
          <w:kern w:val="1"/>
          <w:sz w:val="21"/>
          <w:szCs w:val="21"/>
        </w:rPr>
      </w:pPr>
    </w:p>
    <w:p>
      <w:pPr>
        <w:spacing w:line="360" w:lineRule="auto"/>
        <w:rPr>
          <w:rFonts w:hint="eastAsia" w:asciiTheme="minorEastAsia" w:hAnsiTheme="minorEastAsia" w:eastAsiaTheme="minorEastAsia" w:cstheme="minorEastAsia"/>
          <w:b/>
          <w:kern w:val="1"/>
          <w:sz w:val="21"/>
          <w:szCs w:val="21"/>
          <w:lang w:val="en-US" w:eastAsia="zh-CN"/>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（采购人全称）  </w:t>
      </w:r>
      <w:r>
        <w:rPr>
          <w:rFonts w:hint="eastAsia" w:asciiTheme="minorEastAsia" w:hAnsiTheme="minorEastAsia" w:cstheme="minorEastAsia"/>
          <w:b/>
          <w:kern w:val="1"/>
          <w:sz w:val="21"/>
          <w:szCs w:val="21"/>
          <w:u w:val="none"/>
          <w:lang w:val="en-US" w:eastAsia="zh-CN"/>
        </w:rPr>
        <w:t>：</w:t>
      </w:r>
    </w:p>
    <w:p>
      <w:pPr>
        <w:pStyle w:val="9"/>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auto"/>
          <w:szCs w:val="21"/>
          <w:u w:val="single"/>
          <w:lang w:val="en-US" w:eastAsia="zh-CN"/>
        </w:rPr>
        <w:t xml:space="preserve">                            （项目名称）</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一、我</w:t>
      </w:r>
      <w:r>
        <w:rPr>
          <w:rFonts w:hint="eastAsia" w:ascii="宋体" w:hAnsi="宋体" w:cs="宋体"/>
          <w:color w:val="000000" w:themeColor="text1"/>
          <w14:textFill>
            <w14:solidFill>
              <w14:schemeClr w14:val="tx1"/>
            </w14:solidFill>
          </w14:textFill>
        </w:rPr>
        <w:t>公司承诺在报名时已对于用户需求书中的各项条款、内容及要求给予充分考虑，明确承诺对于本项目的用户需求中的各项条款、内容及要求均为完全响应，不存在任意一条负偏离或不响应的情况。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公司清楚，若对于用户需求书各项条款存在任意一条负偏离或不响应的情况，不被推荐为成交候选人的要求。</w:t>
      </w:r>
    </w:p>
    <w:p>
      <w:pPr>
        <w:numPr>
          <w:numId w:val="0"/>
        </w:numPr>
        <w:snapToGrid w:val="0"/>
        <w:spacing w:line="360" w:lineRule="auto"/>
        <w:ind w:left="0" w:leftChars="0" w:firstLine="420" w:firstLineChars="200"/>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二、</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pStyle w:val="9"/>
        <w:spacing w:line="360" w:lineRule="auto"/>
        <w:ind w:firstLine="420"/>
        <w:rPr>
          <w:rFonts w:asciiTheme="minorEastAsia" w:hAnsiTheme="minorEastAsia" w:eastAsiaTheme="minorEastAsia" w:cstheme="minorEastAsia"/>
          <w:sz w:val="21"/>
          <w:szCs w:val="21"/>
        </w:rPr>
      </w:pPr>
      <w:r>
        <w:rPr>
          <w:rFonts w:hint="eastAsia" w:ascii="宋体" w:hAnsi="宋体" w:eastAsia="宋体" w:cs="宋体"/>
          <w:color w:val="000000" w:themeColor="text1"/>
          <w:szCs w:val="24"/>
          <w:lang w:val="en-US" w:eastAsia="zh-CN"/>
          <w14:textFill>
            <w14:solidFill>
              <w14:schemeClr w14:val="tx1"/>
            </w14:solidFill>
          </w14:textFill>
        </w:rPr>
        <w:t>三、</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具有本次采购项目供货及服务能力</w:t>
      </w:r>
      <w:r>
        <w:rPr>
          <w:rFonts w:hint="eastAsia" w:ascii="宋体" w:hAnsi="宋体" w:eastAsia="宋体" w:cs="宋体"/>
          <w:color w:val="000000" w:themeColor="text1"/>
          <w:szCs w:val="24"/>
          <w:lang w:eastAsia="zh-CN"/>
          <w14:textFill>
            <w14:solidFill>
              <w14:schemeClr w14:val="tx1"/>
            </w14:solidFill>
          </w14:textFill>
        </w:rPr>
        <w:t>，</w:t>
      </w:r>
      <w:r>
        <w:rPr>
          <w:rFonts w:hint="eastAsia" w:asciiTheme="minorEastAsia" w:hAnsiTheme="minorEastAsia" w:eastAsiaTheme="minorEastAsia" w:cstheme="minorEastAsia"/>
          <w:sz w:val="21"/>
          <w:szCs w:val="21"/>
        </w:rPr>
        <w:t>我方如果</w:t>
      </w:r>
      <w:r>
        <w:rPr>
          <w:rFonts w:hint="eastAsia" w:asciiTheme="minorEastAsia" w:hAnsiTheme="minorEastAsia" w:cstheme="minorEastAsia"/>
          <w:sz w:val="21"/>
          <w:szCs w:val="21"/>
          <w:lang w:val="en-US" w:eastAsia="zh-CN"/>
        </w:rPr>
        <w:t>成交</w:t>
      </w:r>
      <w:r>
        <w:rPr>
          <w:rFonts w:hint="eastAsia" w:asciiTheme="minorEastAsia" w:hAnsiTheme="minorEastAsia" w:eastAsiaTheme="minorEastAsia" w:cstheme="minorEastAsia"/>
          <w:sz w:val="21"/>
          <w:szCs w:val="21"/>
        </w:rPr>
        <w:t>，将保证履行采购文件及其澄清、修改文件（如果有）中的全部责任和义务，按质、按量、按期完成《用户需求书》及《合同书》中的全部任务。</w:t>
      </w:r>
    </w:p>
    <w:p>
      <w:pPr>
        <w:numPr>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四、</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有固定的经营场所，信誉良好、售后维护服务好，并且在经营活动中无严重违法记录。</w:t>
      </w:r>
    </w:p>
    <w:p>
      <w:pPr>
        <w:numPr>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五、</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没有为采购项目同一合同项下提供整体设计、规范编制或者项目管理、监理、检测等服务。</w:t>
      </w:r>
    </w:p>
    <w:p>
      <w:pPr>
        <w:numPr>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六、</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的法定代表人或单位负责人与所参投的本项目其他供应商的法定代表人或单位负责人不为同一人且与其他供应商之间不存在直接控股、管理关系。</w:t>
      </w:r>
    </w:p>
    <w:p>
      <w:pPr>
        <w:numPr>
          <w:numId w:val="0"/>
        </w:numPr>
        <w:snapToGrid w:val="0"/>
        <w:spacing w:line="360" w:lineRule="auto"/>
        <w:ind w:left="0" w:leftChars="0"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七、</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lang w:val="en-US" w:eastAsia="zh-CN"/>
          <w14:textFill>
            <w14:solidFill>
              <w14:schemeClr w14:val="tx1"/>
            </w14:solidFill>
          </w14:textFill>
        </w:rPr>
        <w:t>活动</w:t>
      </w:r>
      <w:r>
        <w:rPr>
          <w:rFonts w:hint="eastAsia" w:ascii="宋体" w:hAnsi="宋体" w:eastAsia="宋体" w:cs="宋体"/>
          <w:color w:val="000000" w:themeColor="text1"/>
          <w:szCs w:val="24"/>
          <w14:textFill>
            <w14:solidFill>
              <w14:schemeClr w14:val="tx1"/>
            </w14:solidFill>
          </w14:textFill>
        </w:rPr>
        <w:t>。</w:t>
      </w:r>
    </w:p>
    <w:p>
      <w:pPr>
        <w:spacing w:line="360" w:lineRule="auto"/>
        <w:ind w:left="0" w:leftChars="0" w:firstLine="420" w:firstLineChars="0"/>
      </w:pPr>
      <w:r>
        <w:rPr>
          <w:rFonts w:hint="eastAsia" w:asciiTheme="minorEastAsia" w:hAnsiTheme="minorEastAsia" w:cstheme="minorEastAsia"/>
          <w:kern w:val="1"/>
          <w:sz w:val="21"/>
          <w:szCs w:val="21"/>
          <w:lang w:val="en-US" w:eastAsia="zh-CN"/>
        </w:rPr>
        <w:t>八、</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Theme="minorEastAsia" w:hAnsiTheme="minorEastAsia" w:eastAsiaTheme="minorEastAsia" w:cstheme="minorEastAsia"/>
          <w:kern w:val="1"/>
          <w:sz w:val="21"/>
          <w:szCs w:val="21"/>
        </w:rPr>
        <w:t xml:space="preserve">报价已包含应向知识产权所有权人支付的所有相关税费，并保证采购人在中国使用我方提供的货物时，如有第三方提出侵犯其知识产权主张的，责任由我方承担。 </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numId w:val="0"/>
        </w:numPr>
        <w:autoSpaceDE w:val="0"/>
        <w:autoSpaceDN w:val="0"/>
        <w:adjustRightInd w:val="0"/>
        <w:spacing w:line="360" w:lineRule="auto"/>
        <w:ind w:left="840" w:left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承诺</w:t>
      </w:r>
      <w:r>
        <w:rPr>
          <w:rFonts w:hint="eastAsia" w:ascii="宋体" w:hAnsi="宋体" w:eastAsia="宋体" w:cs="宋体"/>
          <w:color w:val="000000" w:themeColor="text1"/>
          <w14:textFill>
            <w14:solidFill>
              <w14:schemeClr w14:val="tx1"/>
            </w14:solidFill>
          </w14:textFill>
        </w:rPr>
        <w:t>函必须提供且内容不得擅自删改，否则视为响应无效。</w:t>
      </w:r>
    </w:p>
    <w:p>
      <w:pPr>
        <w:pStyle w:val="21"/>
        <w:numPr>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函如有虚假或与事实不符的，作无效报价处理。</w:t>
      </w:r>
    </w:p>
    <w:p>
      <w:pPr>
        <w:pStyle w:val="21"/>
        <w:numPr>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p>
    <w:p>
      <w:pPr>
        <w:pStyle w:val="21"/>
        <w:wordWrap w:val="0"/>
        <w:spacing w:line="360" w:lineRule="auto"/>
        <w:ind w:left="1200" w:right="1008" w:rightChars="0"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21"/>
        <w:wordWrap w:val="0"/>
        <w:spacing w:line="360" w:lineRule="auto"/>
        <w:ind w:left="1200" w:right="1008" w:rightChars="0"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lang w:val="en-US" w:eastAsia="zh-CN"/>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9"/>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9"/>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广东省河源监狱门禁设备采购项目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4"/>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9"/>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[价格单位：（人民币）元]</w:t>
      </w:r>
    </w:p>
    <w:p>
      <w:pPr>
        <w:pStyle w:val="9"/>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p>
    <w:tbl>
      <w:tblPr>
        <w:tblStyle w:val="18"/>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6"/>
        <w:gridCol w:w="990"/>
        <w:gridCol w:w="749"/>
        <w:gridCol w:w="1438"/>
        <w:gridCol w:w="2706"/>
        <w:gridCol w:w="130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6" w:hRule="atLeast"/>
          <w:jc w:val="center"/>
        </w:trPr>
        <w:tc>
          <w:tcPr>
            <w:tcW w:w="57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序号</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项目内容</w:t>
            </w:r>
          </w:p>
        </w:tc>
        <w:tc>
          <w:tcPr>
            <w:tcW w:w="749"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数量</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cstheme="minorBidi"/>
                <w:b/>
                <w:bCs w:val="0"/>
                <w:color w:val="auto"/>
                <w:spacing w:val="4"/>
                <w:kern w:val="2"/>
                <w:sz w:val="21"/>
                <w:szCs w:val="21"/>
                <w:u w:val="none"/>
                <w:lang w:val="en-US" w:eastAsia="zh-CN" w:bidi="ar-SA"/>
              </w:rPr>
              <w:t>预算金额</w:t>
            </w:r>
          </w:p>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（元）</w:t>
            </w:r>
          </w:p>
        </w:tc>
        <w:tc>
          <w:tcPr>
            <w:tcW w:w="270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cstheme="minorBidi"/>
                <w:b/>
                <w:bCs w:val="0"/>
                <w:color w:val="auto"/>
                <w:spacing w:val="4"/>
                <w:kern w:val="2"/>
                <w:sz w:val="21"/>
                <w:szCs w:val="21"/>
                <w:u w:val="none"/>
                <w:lang w:val="en-US" w:eastAsia="zh-CN" w:bidi="ar-SA"/>
              </w:rPr>
              <w:t>统一折扣率</w:t>
            </w:r>
            <w:r>
              <w:rPr>
                <w:rFonts w:hint="eastAsia" w:ascii="宋体" w:hAnsi="宋体" w:eastAsiaTheme="minorEastAsia" w:cstheme="minorBidi"/>
                <w:b/>
                <w:bCs w:val="0"/>
                <w:color w:val="auto"/>
                <w:spacing w:val="4"/>
                <w:kern w:val="2"/>
                <w:sz w:val="21"/>
                <w:szCs w:val="21"/>
                <w:u w:val="none"/>
                <w:lang w:val="en-US" w:eastAsia="zh-CN" w:bidi="ar-SA"/>
              </w:rPr>
              <w:t>（</w:t>
            </w:r>
            <w:r>
              <w:rPr>
                <w:rFonts w:hint="eastAsia" w:ascii="宋体" w:hAnsi="宋体" w:cstheme="minorBidi"/>
                <w:b/>
                <w:bCs w:val="0"/>
                <w:color w:val="auto"/>
                <w:spacing w:val="4"/>
                <w:kern w:val="2"/>
                <w:sz w:val="21"/>
                <w:szCs w:val="21"/>
                <w:u w:val="none"/>
                <w:lang w:val="en-US" w:eastAsia="zh-CN" w:bidi="ar-SA"/>
              </w:rPr>
              <w:t>%</w:t>
            </w:r>
            <w:r>
              <w:rPr>
                <w:rFonts w:hint="eastAsia" w:ascii="宋体" w:hAnsi="宋体" w:eastAsiaTheme="minorEastAsia" w:cstheme="minorBidi"/>
                <w:b/>
                <w:bCs w:val="0"/>
                <w:color w:val="auto"/>
                <w:spacing w:val="4"/>
                <w:kern w:val="2"/>
                <w:sz w:val="21"/>
                <w:szCs w:val="21"/>
                <w:u w:val="none"/>
                <w:lang w:val="en-US" w:eastAsia="zh-CN" w:bidi="ar-SA"/>
              </w:rPr>
              <w:t>）</w:t>
            </w:r>
          </w:p>
        </w:tc>
        <w:tc>
          <w:tcPr>
            <w:tcW w:w="1304"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完成工期</w:t>
            </w:r>
          </w:p>
        </w:tc>
        <w:tc>
          <w:tcPr>
            <w:tcW w:w="1317"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33" w:hRule="atLeast"/>
          <w:jc w:val="center"/>
        </w:trPr>
        <w:tc>
          <w:tcPr>
            <w:tcW w:w="57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广东省河源监狱门禁设备采购项目</w:t>
            </w:r>
          </w:p>
        </w:tc>
        <w:tc>
          <w:tcPr>
            <w:tcW w:w="749"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1项</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default" w:ascii="宋体" w:hAnsi="宋体" w:cstheme="minorBidi"/>
                <w:b w:val="0"/>
                <w:bCs/>
                <w:color w:val="auto"/>
                <w:spacing w:val="4"/>
                <w:kern w:val="2"/>
                <w:sz w:val="21"/>
                <w:szCs w:val="21"/>
                <w:u w:val="none"/>
                <w:lang w:val="en-US" w:eastAsia="zh-CN" w:bidi="ar-SA"/>
              </w:rPr>
              <w:t>¥</w:t>
            </w:r>
            <w:r>
              <w:rPr>
                <w:rFonts w:hint="eastAsia" w:ascii="宋体" w:hAnsi="宋体" w:cstheme="minorBidi"/>
                <w:b w:val="0"/>
                <w:bCs/>
                <w:color w:val="auto"/>
                <w:spacing w:val="4"/>
                <w:kern w:val="2"/>
                <w:sz w:val="21"/>
                <w:szCs w:val="21"/>
                <w:u w:val="none"/>
                <w:lang w:val="en-US" w:eastAsia="zh-CN" w:bidi="ar-SA"/>
              </w:rPr>
              <w:t>108,464.80</w:t>
            </w:r>
          </w:p>
        </w:tc>
        <w:tc>
          <w:tcPr>
            <w:tcW w:w="2706"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小写：</w:t>
            </w:r>
            <w:r>
              <w:rPr>
                <w:rFonts w:hint="eastAsia" w:ascii="宋体" w:hAnsi="宋体" w:cstheme="minorBidi"/>
                <w:b w:val="0"/>
                <w:bCs/>
                <w:color w:val="auto"/>
                <w:spacing w:val="4"/>
                <w:kern w:val="2"/>
                <w:sz w:val="21"/>
                <w:szCs w:val="21"/>
                <w:u w:val="single"/>
                <w:lang w:val="en-US" w:eastAsia="zh-CN" w:bidi="ar-SA"/>
              </w:rPr>
              <w:t xml:space="preserve">       </w:t>
            </w:r>
            <w:r>
              <w:rPr>
                <w:rFonts w:hint="eastAsia" w:ascii="宋体" w:hAnsi="宋体" w:cstheme="minorBidi"/>
                <w:b w:val="0"/>
                <w:bCs/>
                <w:color w:val="auto"/>
                <w:spacing w:val="4"/>
                <w:kern w:val="2"/>
                <w:sz w:val="21"/>
                <w:szCs w:val="21"/>
                <w:u w:val="none"/>
                <w:lang w:val="en-US" w:eastAsia="zh-CN" w:bidi="ar-SA"/>
              </w:rPr>
              <w:t>%</w:t>
            </w:r>
          </w:p>
          <w:p>
            <w:pPr>
              <w:pStyle w:val="4"/>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single"/>
                <w:lang w:val="en-US" w:eastAsia="zh-CN" w:bidi="ar-SA"/>
              </w:rPr>
            </w:pPr>
            <w:r>
              <w:rPr>
                <w:rFonts w:hint="eastAsia" w:ascii="宋体" w:hAnsi="宋体" w:cstheme="minorBidi"/>
                <w:b w:val="0"/>
                <w:bCs/>
                <w:color w:val="auto"/>
                <w:spacing w:val="4"/>
                <w:kern w:val="2"/>
                <w:sz w:val="21"/>
                <w:szCs w:val="21"/>
                <w:u w:val="none"/>
                <w:lang w:val="en-US" w:eastAsia="zh-CN" w:bidi="ar-SA"/>
              </w:rPr>
              <w:t>大写：百分之</w:t>
            </w:r>
            <w:r>
              <w:rPr>
                <w:rFonts w:hint="eastAsia" w:ascii="宋体" w:hAnsi="宋体" w:cstheme="minorBidi"/>
                <w:b w:val="0"/>
                <w:bCs/>
                <w:color w:val="auto"/>
                <w:spacing w:val="4"/>
                <w:kern w:val="2"/>
                <w:sz w:val="21"/>
                <w:szCs w:val="21"/>
                <w:u w:val="single"/>
                <w:lang w:val="en-US" w:eastAsia="zh-CN" w:bidi="ar-SA"/>
              </w:rPr>
              <w:t xml:space="preserve">       </w:t>
            </w:r>
          </w:p>
        </w:tc>
        <w:tc>
          <w:tcPr>
            <w:tcW w:w="1304"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lang w:val="en-US" w:eastAsia="zh-CN"/>
              </w:rPr>
              <w:t>合同签订之日起45个日历天完工。</w:t>
            </w:r>
          </w:p>
        </w:tc>
        <w:tc>
          <w:tcPr>
            <w:tcW w:w="1317" w:type="dxa"/>
            <w:vAlign w:val="center"/>
          </w:tcPr>
          <w:p>
            <w:pPr>
              <w:keepNext w:val="0"/>
              <w:keepLines w:val="0"/>
              <w:pageBreakBefore w:val="0"/>
              <w:widowControl/>
              <w:numPr>
                <w:numId w:val="0"/>
              </w:numPr>
              <w:kinsoku/>
              <w:wordWrap/>
              <w:overflowPunct/>
              <w:topLinePunct w:val="0"/>
              <w:autoSpaceDE/>
              <w:autoSpaceDN/>
              <w:bidi w:val="0"/>
              <w:adjustRightInd/>
              <w:snapToGrid/>
              <w:spacing w:line="300" w:lineRule="atLeast"/>
              <w:jc w:val="both"/>
              <w:textAlignment w:val="center"/>
              <w:outlineLvl w:val="9"/>
              <w:rPr>
                <w:rFonts w:hint="default"/>
                <w:lang w:val="en-US" w:eastAsia="zh-CN"/>
              </w:rPr>
            </w:pPr>
            <w:r>
              <w:rPr>
                <w:rFonts w:hint="eastAsia"/>
                <w:lang w:val="en-US" w:eastAsia="zh-CN"/>
              </w:rPr>
              <w:t>1.绿色施工安全防护措施费</w:t>
            </w:r>
            <w:r>
              <w:rPr>
                <w:rFonts w:hint="default"/>
                <w:lang w:val="en-US" w:eastAsia="zh-CN"/>
              </w:rPr>
              <w:t>¥</w:t>
            </w:r>
            <w:r>
              <w:rPr>
                <w:rFonts w:hint="eastAsia"/>
                <w:lang w:val="en-US" w:eastAsia="zh-CN"/>
              </w:rPr>
              <w:t>4,616.43</w:t>
            </w:r>
            <w:r>
              <w:rPr>
                <w:rFonts w:hint="eastAsia"/>
                <w:lang w:val="en-US" w:eastAsia="zh-CN"/>
              </w:rPr>
              <w:t>元，该措施费为不可竞争费用。</w:t>
            </w:r>
          </w:p>
          <w:p>
            <w:pPr>
              <w:keepNext w:val="0"/>
              <w:keepLines w:val="0"/>
              <w:pageBreakBefore w:val="0"/>
              <w:widowControl/>
              <w:numPr>
                <w:numId w:val="0"/>
              </w:numPr>
              <w:kinsoku/>
              <w:wordWrap/>
              <w:overflowPunct/>
              <w:topLinePunct w:val="0"/>
              <w:autoSpaceDE/>
              <w:autoSpaceDN/>
              <w:bidi w:val="0"/>
              <w:adjustRightInd/>
              <w:snapToGrid/>
              <w:spacing w:line="300" w:lineRule="atLeast"/>
              <w:jc w:val="both"/>
              <w:textAlignment w:val="center"/>
              <w:outlineLvl w:val="9"/>
              <w:rPr>
                <w:rFonts w:hint="default"/>
                <w:lang w:val="en-US" w:eastAsia="zh-CN"/>
              </w:rPr>
            </w:pPr>
            <w:r>
              <w:rPr>
                <w:rFonts w:hint="eastAsia"/>
                <w:lang w:val="en-US" w:eastAsia="zh-CN"/>
              </w:rPr>
              <w:t>2.本项目6%税率不可下浮。</w:t>
            </w: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pStyle w:val="15"/>
        <w:numPr>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1.</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numId w:val="0"/>
        </w:numPr>
        <w:spacing w:line="360" w:lineRule="auto"/>
        <w:ind w:left="0" w:leftChars="0" w:firstLine="420" w:firstLineChars="200"/>
        <w:rPr>
          <w:rFonts w:ascii="宋体" w:hAnsi="宋体"/>
          <w:bCs/>
          <w:color w:val="000000"/>
          <w:kern w:val="0"/>
        </w:rPr>
      </w:pPr>
      <w:r>
        <w:rPr>
          <w:rFonts w:hint="eastAsia" w:ascii="宋体" w:hAnsi="宋体" w:cs="宋体"/>
          <w:bCs/>
          <w:color w:val="000000"/>
          <w:kern w:val="0"/>
          <w:lang w:val="en-US" w:eastAsia="zh-CN"/>
        </w:rPr>
        <w:t>2.</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p>
    <w:p>
      <w:pPr>
        <w:pStyle w:val="15"/>
        <w:numPr>
          <w:numId w:val="0"/>
        </w:numPr>
        <w:shd w:val="clear" w:color="auto" w:fill="FFFFFF"/>
        <w:spacing w:line="360" w:lineRule="auto"/>
        <w:ind w:left="0" w:leftChars="0" w:firstLine="420" w:firstLineChars="200"/>
        <w:rPr>
          <w:rFonts w:cs="Times New Roman"/>
          <w:color w:val="000000"/>
          <w:sz w:val="21"/>
          <w:szCs w:val="21"/>
        </w:rPr>
      </w:pPr>
      <w:r>
        <w:rPr>
          <w:rFonts w:hint="eastAsia"/>
          <w:color w:val="000000"/>
          <w:sz w:val="21"/>
          <w:szCs w:val="21"/>
          <w:lang w:val="en-US" w:eastAsia="zh-CN"/>
        </w:rPr>
        <w:t>3.</w:t>
      </w: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lang w:val="en-US" w:eastAsia="zh-CN"/>
        </w:rPr>
        <w:t>统一</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bCs/>
          <w:color w:val="000000"/>
          <w:sz w:val="21"/>
          <w:szCs w:val="21"/>
          <w:u w:val="single"/>
          <w:lang w:val="en-US" w:eastAsia="zh-CN"/>
        </w:rPr>
        <w:t>折算后单价四舍五入保留两位小数点</w:t>
      </w:r>
      <w:r>
        <w:rPr>
          <w:rFonts w:hint="eastAsia"/>
          <w:b/>
          <w:bCs/>
          <w:color w:val="000000"/>
          <w:sz w:val="21"/>
          <w:szCs w:val="21"/>
          <w:u w:val="single"/>
          <w:lang w:eastAsia="zh-CN"/>
        </w:rPr>
        <w:t>）</w:t>
      </w:r>
      <w:r>
        <w:rPr>
          <w:rFonts w:hint="eastAsia"/>
          <w:color w:val="000000"/>
          <w:sz w:val="21"/>
          <w:szCs w:val="21"/>
          <w:u w:val="single"/>
          <w:lang w:val="en-US" w:eastAsia="zh-CN"/>
        </w:rPr>
        <w:t>；</w:t>
      </w:r>
      <w:r>
        <w:rPr>
          <w:rFonts w:hint="eastAsia"/>
          <w:color w:val="000000"/>
          <w:sz w:val="21"/>
          <w:szCs w:val="21"/>
        </w:rPr>
        <w:t>在本项目合同服务履行期间，该折扣率不作另行调整；</w:t>
      </w:r>
    </w:p>
    <w:p>
      <w:pPr>
        <w:pStyle w:val="15"/>
        <w:numPr>
          <w:numId w:val="0"/>
        </w:numPr>
        <w:shd w:val="clear" w:color="auto" w:fill="FFFFFF"/>
        <w:spacing w:line="360" w:lineRule="auto"/>
        <w:ind w:left="0" w:leftChars="0" w:firstLine="420" w:firstLineChars="200"/>
        <w:rPr>
          <w:rFonts w:hint="eastAsia" w:cs="Times New Roman" w:eastAsiaTheme="minorEastAsia"/>
          <w:color w:val="000000"/>
          <w:sz w:val="21"/>
          <w:szCs w:val="21"/>
          <w:lang w:val="en-US" w:eastAsia="zh-CN"/>
        </w:rPr>
      </w:pPr>
      <w:r>
        <w:rPr>
          <w:rFonts w:hint="eastAsia"/>
          <w:color w:val="000000"/>
          <w:sz w:val="21"/>
          <w:szCs w:val="21"/>
          <w:lang w:val="en-US" w:eastAsia="zh-CN"/>
        </w:rPr>
        <w:t>4.</w:t>
      </w:r>
      <w:r>
        <w:rPr>
          <w:rFonts w:hint="eastAsia"/>
          <w:color w:val="000000"/>
          <w:sz w:val="21"/>
          <w:szCs w:val="21"/>
        </w:rPr>
        <w:t>响应折扣率的报价均应包含国家规定的税费</w:t>
      </w:r>
      <w:r>
        <w:rPr>
          <w:rFonts w:hint="eastAsia"/>
          <w:color w:val="000000"/>
          <w:sz w:val="21"/>
          <w:szCs w:val="21"/>
          <w:lang w:val="en-US" w:eastAsia="zh-CN"/>
        </w:rPr>
        <w:t>；</w:t>
      </w:r>
    </w:p>
    <w:p>
      <w:pPr>
        <w:pStyle w:val="15"/>
        <w:numPr>
          <w:numId w:val="0"/>
        </w:numPr>
        <w:shd w:val="clear" w:color="auto" w:fill="FFFFFF"/>
        <w:spacing w:before="0" w:beforeAutospacing="0" w:after="0" w:afterAutospacing="0" w:line="360" w:lineRule="auto"/>
        <w:ind w:left="0" w:leftChars="0" w:firstLine="420" w:firstLineChars="200"/>
        <w:jc w:val="both"/>
        <w:rPr>
          <w:color w:val="000000"/>
          <w:sz w:val="21"/>
          <w:szCs w:val="21"/>
        </w:rPr>
      </w:pPr>
      <w:r>
        <w:rPr>
          <w:rFonts w:hint="eastAsia"/>
          <w:color w:val="000000"/>
          <w:sz w:val="21"/>
          <w:szCs w:val="21"/>
          <w:lang w:val="en-US" w:eastAsia="zh-CN"/>
        </w:rPr>
        <w:t>5.</w:t>
      </w:r>
      <w:r>
        <w:rPr>
          <w:rFonts w:hint="eastAsia"/>
          <w:color w:val="000000"/>
          <w:sz w:val="21"/>
          <w:szCs w:val="21"/>
        </w:rPr>
        <w:t>本项目不接受有选择性的响应报价，只允许报一个</w:t>
      </w:r>
      <w:r>
        <w:rPr>
          <w:rFonts w:hint="eastAsia"/>
          <w:color w:val="000000"/>
          <w:sz w:val="21"/>
          <w:szCs w:val="21"/>
          <w:lang w:val="en-US" w:eastAsia="zh-CN"/>
        </w:rPr>
        <w:t>统一</w:t>
      </w:r>
      <w:r>
        <w:rPr>
          <w:rFonts w:hint="eastAsia"/>
          <w:color w:val="000000"/>
          <w:sz w:val="21"/>
          <w:szCs w:val="21"/>
        </w:rPr>
        <w:t>折扣率，且所报的折扣率适用于采购清单内的所有物品。</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6"/>
        <w:rPr>
          <w:rFonts w:hint="eastAsia"/>
        </w:rPr>
      </w:pPr>
    </w:p>
    <w:p>
      <w:pPr>
        <w:pStyle w:val="6"/>
        <w:rPr>
          <w:rFonts w:hint="eastAsia"/>
        </w:rPr>
      </w:pPr>
      <w:bookmarkStart w:id="0" w:name="_GoBack"/>
      <w:bookmarkEnd w:id="0"/>
    </w:p>
    <w:sectPr>
      <w:footerReference r:id="rId3"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E1FE2"/>
    <w:multiLevelType w:val="singleLevel"/>
    <w:tmpl w:val="A05E1FE2"/>
    <w:lvl w:ilvl="0" w:tentative="0">
      <w:start w:val="1"/>
      <w:numFmt w:val="chineseCounting"/>
      <w:suff w:val="nothing"/>
      <w:lvlText w:val="（%1）"/>
      <w:lvlJc w:val="left"/>
      <w:rPr>
        <w:rFonts w:hint="eastAsia"/>
      </w:rPr>
    </w:lvl>
  </w:abstractNum>
  <w:abstractNum w:abstractNumId="1">
    <w:nsid w:val="B40BB547"/>
    <w:multiLevelType w:val="singleLevel"/>
    <w:tmpl w:val="B40BB547"/>
    <w:lvl w:ilvl="0" w:tentative="0">
      <w:start w:val="1"/>
      <w:numFmt w:val="chineseCounting"/>
      <w:suff w:val="nothing"/>
      <w:lvlText w:val="（%1）"/>
      <w:lvlJc w:val="left"/>
      <w:rPr>
        <w:rFonts w:hint="eastAsia"/>
      </w:rPr>
    </w:lvl>
  </w:abstractNum>
  <w:abstractNum w:abstractNumId="2">
    <w:nsid w:val="11336460"/>
    <w:multiLevelType w:val="singleLevel"/>
    <w:tmpl w:val="11336460"/>
    <w:lvl w:ilvl="0" w:tentative="0">
      <w:start w:val="1"/>
      <w:numFmt w:val="chineseCounting"/>
      <w:suff w:val="space"/>
      <w:lvlText w:val="第%1章"/>
      <w:lvlJc w:val="left"/>
      <w:rPr>
        <w:rFonts w:hint="eastAsia"/>
      </w:rPr>
    </w:lvl>
  </w:abstractNum>
  <w:abstractNum w:abstractNumId="3">
    <w:nsid w:val="36A5433C"/>
    <w:multiLevelType w:val="singleLevel"/>
    <w:tmpl w:val="36A5433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66EA"/>
    <w:rsid w:val="007A3658"/>
    <w:rsid w:val="007D2DC4"/>
    <w:rsid w:val="00E21113"/>
    <w:rsid w:val="00EE48ED"/>
    <w:rsid w:val="012D02A1"/>
    <w:rsid w:val="0155715C"/>
    <w:rsid w:val="01906AA3"/>
    <w:rsid w:val="01C67967"/>
    <w:rsid w:val="01C728D0"/>
    <w:rsid w:val="028E67F3"/>
    <w:rsid w:val="02EE1FF0"/>
    <w:rsid w:val="03356B49"/>
    <w:rsid w:val="03CF4982"/>
    <w:rsid w:val="04C27B6C"/>
    <w:rsid w:val="04CB40CB"/>
    <w:rsid w:val="05326F8E"/>
    <w:rsid w:val="05601E08"/>
    <w:rsid w:val="07A40D36"/>
    <w:rsid w:val="08861E19"/>
    <w:rsid w:val="08F6786C"/>
    <w:rsid w:val="09C22DF1"/>
    <w:rsid w:val="0B3C2B55"/>
    <w:rsid w:val="0BA10DA1"/>
    <w:rsid w:val="0BC5664A"/>
    <w:rsid w:val="0BDA4A8E"/>
    <w:rsid w:val="0C373B85"/>
    <w:rsid w:val="0CAD59F1"/>
    <w:rsid w:val="0D226E45"/>
    <w:rsid w:val="0D286BAA"/>
    <w:rsid w:val="0D934A87"/>
    <w:rsid w:val="0DAA06F2"/>
    <w:rsid w:val="0E194127"/>
    <w:rsid w:val="0F1B3E67"/>
    <w:rsid w:val="0F5E54BB"/>
    <w:rsid w:val="0FCD68E2"/>
    <w:rsid w:val="0FDB0123"/>
    <w:rsid w:val="10662DEA"/>
    <w:rsid w:val="11B25927"/>
    <w:rsid w:val="11E44571"/>
    <w:rsid w:val="1234350B"/>
    <w:rsid w:val="123D6A4D"/>
    <w:rsid w:val="124A4C2D"/>
    <w:rsid w:val="1274634C"/>
    <w:rsid w:val="12805672"/>
    <w:rsid w:val="12B14E98"/>
    <w:rsid w:val="12B82EB6"/>
    <w:rsid w:val="135E05E2"/>
    <w:rsid w:val="1397165D"/>
    <w:rsid w:val="13F9130C"/>
    <w:rsid w:val="144354FB"/>
    <w:rsid w:val="14644144"/>
    <w:rsid w:val="14697459"/>
    <w:rsid w:val="14B04DE7"/>
    <w:rsid w:val="14F77FDF"/>
    <w:rsid w:val="16737FD7"/>
    <w:rsid w:val="16F50701"/>
    <w:rsid w:val="16FA45C8"/>
    <w:rsid w:val="17731ECE"/>
    <w:rsid w:val="186D7D0F"/>
    <w:rsid w:val="198E39D1"/>
    <w:rsid w:val="19C1544E"/>
    <w:rsid w:val="19DA1D52"/>
    <w:rsid w:val="1A71043E"/>
    <w:rsid w:val="1AA5611E"/>
    <w:rsid w:val="1AC25305"/>
    <w:rsid w:val="1B34727B"/>
    <w:rsid w:val="1BED1A6A"/>
    <w:rsid w:val="1BFA5FCE"/>
    <w:rsid w:val="1CD16E1B"/>
    <w:rsid w:val="1DB3554B"/>
    <w:rsid w:val="1E3C7662"/>
    <w:rsid w:val="1E8845CA"/>
    <w:rsid w:val="1FEF3960"/>
    <w:rsid w:val="20947A18"/>
    <w:rsid w:val="21A03B8D"/>
    <w:rsid w:val="21A3268F"/>
    <w:rsid w:val="21C36F1F"/>
    <w:rsid w:val="21F7526F"/>
    <w:rsid w:val="21FB548C"/>
    <w:rsid w:val="22712333"/>
    <w:rsid w:val="23873708"/>
    <w:rsid w:val="23BB5BAE"/>
    <w:rsid w:val="241754C3"/>
    <w:rsid w:val="24327D1C"/>
    <w:rsid w:val="248F1E52"/>
    <w:rsid w:val="255C570C"/>
    <w:rsid w:val="25E67716"/>
    <w:rsid w:val="25FE740C"/>
    <w:rsid w:val="264F26CE"/>
    <w:rsid w:val="265E0F6A"/>
    <w:rsid w:val="26FA74FD"/>
    <w:rsid w:val="28A27EE1"/>
    <w:rsid w:val="28D724DA"/>
    <w:rsid w:val="28E855AC"/>
    <w:rsid w:val="29421331"/>
    <w:rsid w:val="299F3F57"/>
    <w:rsid w:val="2A69308B"/>
    <w:rsid w:val="2AA661B2"/>
    <w:rsid w:val="2B80725D"/>
    <w:rsid w:val="2BF10F74"/>
    <w:rsid w:val="2C627AC8"/>
    <w:rsid w:val="2D5007B8"/>
    <w:rsid w:val="2D7B5115"/>
    <w:rsid w:val="2D895964"/>
    <w:rsid w:val="2D8F2E74"/>
    <w:rsid w:val="2DBC2E0A"/>
    <w:rsid w:val="2F062F75"/>
    <w:rsid w:val="2F2F0429"/>
    <w:rsid w:val="2FB478F7"/>
    <w:rsid w:val="2FC95D81"/>
    <w:rsid w:val="302F7B59"/>
    <w:rsid w:val="303B299D"/>
    <w:rsid w:val="30501E90"/>
    <w:rsid w:val="3066445F"/>
    <w:rsid w:val="30AB777D"/>
    <w:rsid w:val="30E55371"/>
    <w:rsid w:val="30FB3E47"/>
    <w:rsid w:val="31006CD9"/>
    <w:rsid w:val="31041AAE"/>
    <w:rsid w:val="310606C6"/>
    <w:rsid w:val="318656D8"/>
    <w:rsid w:val="32D42DDF"/>
    <w:rsid w:val="332D2CD8"/>
    <w:rsid w:val="33597986"/>
    <w:rsid w:val="34364FAB"/>
    <w:rsid w:val="34A87402"/>
    <w:rsid w:val="37B54E1D"/>
    <w:rsid w:val="37B81BEC"/>
    <w:rsid w:val="386D579C"/>
    <w:rsid w:val="38787AEA"/>
    <w:rsid w:val="38F92A66"/>
    <w:rsid w:val="39332CE3"/>
    <w:rsid w:val="393E2369"/>
    <w:rsid w:val="39766806"/>
    <w:rsid w:val="39D019BE"/>
    <w:rsid w:val="39E40121"/>
    <w:rsid w:val="3A6A5AFB"/>
    <w:rsid w:val="3A8676EF"/>
    <w:rsid w:val="3AA61E42"/>
    <w:rsid w:val="3B0E690B"/>
    <w:rsid w:val="3D032FD2"/>
    <w:rsid w:val="3D141D75"/>
    <w:rsid w:val="3D7C5581"/>
    <w:rsid w:val="3DC84A9A"/>
    <w:rsid w:val="3DFE6052"/>
    <w:rsid w:val="3E2712A7"/>
    <w:rsid w:val="3EF24ED3"/>
    <w:rsid w:val="3FB21705"/>
    <w:rsid w:val="3FB76239"/>
    <w:rsid w:val="3FE77A82"/>
    <w:rsid w:val="4017186C"/>
    <w:rsid w:val="412B3BD0"/>
    <w:rsid w:val="41711287"/>
    <w:rsid w:val="421435C1"/>
    <w:rsid w:val="435726A3"/>
    <w:rsid w:val="43D27BC8"/>
    <w:rsid w:val="43F7549F"/>
    <w:rsid w:val="44074471"/>
    <w:rsid w:val="44F274AD"/>
    <w:rsid w:val="455508FB"/>
    <w:rsid w:val="456D16EE"/>
    <w:rsid w:val="468E2CEF"/>
    <w:rsid w:val="47007902"/>
    <w:rsid w:val="47635B47"/>
    <w:rsid w:val="47713968"/>
    <w:rsid w:val="482A15EC"/>
    <w:rsid w:val="48C06DB5"/>
    <w:rsid w:val="491252EC"/>
    <w:rsid w:val="4913323F"/>
    <w:rsid w:val="49260F5F"/>
    <w:rsid w:val="492807E8"/>
    <w:rsid w:val="49F45198"/>
    <w:rsid w:val="4AB47B42"/>
    <w:rsid w:val="4B1B2583"/>
    <w:rsid w:val="4B873501"/>
    <w:rsid w:val="4BE60AA6"/>
    <w:rsid w:val="4C2D72B7"/>
    <w:rsid w:val="4C7B4010"/>
    <w:rsid w:val="4D4A51B9"/>
    <w:rsid w:val="4E306D68"/>
    <w:rsid w:val="4E673129"/>
    <w:rsid w:val="4EB20057"/>
    <w:rsid w:val="4F3E14BF"/>
    <w:rsid w:val="4F8C652D"/>
    <w:rsid w:val="4FB5527C"/>
    <w:rsid w:val="4FB67A4E"/>
    <w:rsid w:val="4FC819B8"/>
    <w:rsid w:val="503F68FC"/>
    <w:rsid w:val="506D1AB1"/>
    <w:rsid w:val="50A11CFE"/>
    <w:rsid w:val="50D85556"/>
    <w:rsid w:val="515E7A70"/>
    <w:rsid w:val="517B4F66"/>
    <w:rsid w:val="51C71A20"/>
    <w:rsid w:val="5209190E"/>
    <w:rsid w:val="52963376"/>
    <w:rsid w:val="52966A1A"/>
    <w:rsid w:val="52C35109"/>
    <w:rsid w:val="52D4625F"/>
    <w:rsid w:val="53931652"/>
    <w:rsid w:val="53B264F4"/>
    <w:rsid w:val="5404418E"/>
    <w:rsid w:val="54117BA3"/>
    <w:rsid w:val="54561298"/>
    <w:rsid w:val="54590F0A"/>
    <w:rsid w:val="54B57A63"/>
    <w:rsid w:val="54C37276"/>
    <w:rsid w:val="54F22092"/>
    <w:rsid w:val="551F4298"/>
    <w:rsid w:val="554B30FE"/>
    <w:rsid w:val="55FD7DDC"/>
    <w:rsid w:val="560A53C4"/>
    <w:rsid w:val="5661418B"/>
    <w:rsid w:val="577B505A"/>
    <w:rsid w:val="577B5528"/>
    <w:rsid w:val="587B3035"/>
    <w:rsid w:val="596464DE"/>
    <w:rsid w:val="597F708F"/>
    <w:rsid w:val="59F138CC"/>
    <w:rsid w:val="5ACF512A"/>
    <w:rsid w:val="5B3F704D"/>
    <w:rsid w:val="5B4A21F6"/>
    <w:rsid w:val="5B75444A"/>
    <w:rsid w:val="5C077ED5"/>
    <w:rsid w:val="5C3638A7"/>
    <w:rsid w:val="5CA85FC8"/>
    <w:rsid w:val="5D2F38E7"/>
    <w:rsid w:val="5DAA7BC7"/>
    <w:rsid w:val="5E2D7AA1"/>
    <w:rsid w:val="5EB66D4F"/>
    <w:rsid w:val="5FBB3877"/>
    <w:rsid w:val="601F6302"/>
    <w:rsid w:val="60DF1078"/>
    <w:rsid w:val="619F122B"/>
    <w:rsid w:val="61B35F9C"/>
    <w:rsid w:val="62356DFF"/>
    <w:rsid w:val="6245055A"/>
    <w:rsid w:val="62530A17"/>
    <w:rsid w:val="63257394"/>
    <w:rsid w:val="638C78E9"/>
    <w:rsid w:val="63B9340E"/>
    <w:rsid w:val="63B941FE"/>
    <w:rsid w:val="63EA38F8"/>
    <w:rsid w:val="6455458D"/>
    <w:rsid w:val="64557329"/>
    <w:rsid w:val="66EC4BFA"/>
    <w:rsid w:val="676C5BA9"/>
    <w:rsid w:val="67A516B7"/>
    <w:rsid w:val="681B158A"/>
    <w:rsid w:val="687C3FAE"/>
    <w:rsid w:val="68CE1254"/>
    <w:rsid w:val="692C1847"/>
    <w:rsid w:val="698F20E1"/>
    <w:rsid w:val="69CB1013"/>
    <w:rsid w:val="69D12E8E"/>
    <w:rsid w:val="6BC46931"/>
    <w:rsid w:val="6C8829F6"/>
    <w:rsid w:val="6D0D7448"/>
    <w:rsid w:val="6E3C39C3"/>
    <w:rsid w:val="703334D2"/>
    <w:rsid w:val="70391CB1"/>
    <w:rsid w:val="70C825D4"/>
    <w:rsid w:val="7198188D"/>
    <w:rsid w:val="71AD6345"/>
    <w:rsid w:val="71BF53D6"/>
    <w:rsid w:val="71ED654D"/>
    <w:rsid w:val="71F860BE"/>
    <w:rsid w:val="720C154E"/>
    <w:rsid w:val="72150491"/>
    <w:rsid w:val="721A1E72"/>
    <w:rsid w:val="72471090"/>
    <w:rsid w:val="728F232C"/>
    <w:rsid w:val="72F025FA"/>
    <w:rsid w:val="735340BF"/>
    <w:rsid w:val="73656151"/>
    <w:rsid w:val="738B1085"/>
    <w:rsid w:val="745449E5"/>
    <w:rsid w:val="74747C07"/>
    <w:rsid w:val="74FC0165"/>
    <w:rsid w:val="756E3555"/>
    <w:rsid w:val="759C0FAD"/>
    <w:rsid w:val="75CF1F29"/>
    <w:rsid w:val="762A42EA"/>
    <w:rsid w:val="77192436"/>
    <w:rsid w:val="77350F71"/>
    <w:rsid w:val="7745190F"/>
    <w:rsid w:val="77904BBB"/>
    <w:rsid w:val="77C17A0C"/>
    <w:rsid w:val="77FF0EFA"/>
    <w:rsid w:val="79A23138"/>
    <w:rsid w:val="7A3143E4"/>
    <w:rsid w:val="7AD83B4A"/>
    <w:rsid w:val="7BE52EA1"/>
    <w:rsid w:val="7C4B1803"/>
    <w:rsid w:val="7D2A2790"/>
    <w:rsid w:val="7E1A5363"/>
    <w:rsid w:val="7EB450D3"/>
    <w:rsid w:val="7EC040B2"/>
    <w:rsid w:val="7F312660"/>
    <w:rsid w:val="7FAD3488"/>
    <w:rsid w:val="7FEC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2"/>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5">
    <w:name w:val="Body Text 3"/>
    <w:basedOn w:val="1"/>
    <w:qFormat/>
    <w:uiPriority w:val="0"/>
    <w:rPr>
      <w:sz w:val="24"/>
      <w:szCs w:val="20"/>
    </w:rPr>
  </w:style>
  <w:style w:type="paragraph" w:styleId="6">
    <w:name w:val="Body Text"/>
    <w:basedOn w:val="1"/>
    <w:qFormat/>
    <w:uiPriority w:val="0"/>
    <w:pPr>
      <w:tabs>
        <w:tab w:val="left" w:pos="562"/>
        <w:tab w:val="left" w:pos="3372"/>
        <w:tab w:val="left" w:pos="3653"/>
      </w:tabs>
    </w:pPr>
    <w:rPr>
      <w:sz w:val="24"/>
    </w:rPr>
  </w:style>
  <w:style w:type="paragraph" w:styleId="7">
    <w:name w:val="Body Text Indent"/>
    <w:basedOn w:val="1"/>
    <w:next w:val="8"/>
    <w:qFormat/>
    <w:uiPriority w:val="0"/>
    <w:pPr>
      <w:ind w:left="420"/>
    </w:pPr>
  </w:style>
  <w:style w:type="paragraph" w:styleId="8">
    <w:name w:val="envelope return"/>
    <w:basedOn w:val="1"/>
    <w:qFormat/>
    <w:uiPriority w:val="0"/>
    <w:pPr>
      <w:autoSpaceDE/>
      <w:autoSpaceDN/>
      <w:adjustRightInd/>
      <w:snapToGrid w:val="0"/>
      <w:jc w:val="both"/>
    </w:pPr>
    <w:rPr>
      <w:rFonts w:ascii="Arial" w:hAnsi="Arial" w:cs="Arial"/>
      <w:kern w:val="2"/>
      <w:sz w:val="21"/>
    </w:r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7"/>
    <w:qFormat/>
    <w:uiPriority w:val="0"/>
    <w:pPr>
      <w:widowControl/>
      <w:spacing w:after="120"/>
      <w:ind w:leftChars="200" w:firstLine="420" w:firstLineChars="200"/>
      <w:jc w:val="left"/>
    </w:pPr>
    <w:rPr>
      <w:rFonts w:ascii="Times New Roman" w:hAnsi="Times New Roman"/>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center"/>
    </w:pPr>
    <w:rPr>
      <w:b/>
      <w:bCs/>
      <w:caps/>
      <w:sz w:val="28"/>
      <w:szCs w:val="28"/>
    </w:rPr>
  </w:style>
  <w:style w:type="paragraph" w:styleId="14">
    <w:name w:val="toc 2"/>
    <w:basedOn w:val="1"/>
    <w:next w:val="1"/>
    <w:unhideWhenUsed/>
    <w:qFormat/>
    <w:uiPriority w:val="39"/>
    <w:pPr>
      <w:ind w:left="420" w:leftChars="200"/>
      <w:jc w:val="left"/>
    </w:pPr>
    <w:rPr>
      <w:sz w:val="24"/>
    </w:rPr>
  </w:style>
  <w:style w:type="paragraph" w:styleId="15">
    <w:name w:val="Normal (Web)"/>
    <w:basedOn w:val="1"/>
    <w:qFormat/>
    <w:uiPriority w:val="0"/>
    <w:rPr>
      <w:sz w:val="24"/>
    </w:rPr>
  </w:style>
  <w:style w:type="character" w:styleId="17">
    <w:name w:val="Hyperlink"/>
    <w:qFormat/>
    <w:uiPriority w:val="99"/>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_Style 3"/>
    <w:basedOn w:val="1"/>
    <w:qFormat/>
    <w:uiPriority w:val="0"/>
    <w:pPr>
      <w:ind w:firstLine="420" w:firstLineChars="200"/>
    </w:pPr>
    <w:rPr>
      <w:sz w:val="20"/>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保留正文"/>
    <w:basedOn w:val="6"/>
    <w:qFormat/>
    <w:uiPriority w:val="0"/>
    <w:pPr>
      <w:keepNext/>
      <w:spacing w:after="160"/>
    </w:pPr>
    <w:rPr>
      <w:sz w:val="21"/>
    </w:rPr>
  </w:style>
  <w:style w:type="character" w:customStyle="1" w:styleId="24">
    <w:name w:val="NormalCharacter"/>
    <w:semiHidden/>
    <w:qFormat/>
    <w:uiPriority w:val="99"/>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font21"/>
    <w:basedOn w:val="16"/>
    <w:qFormat/>
    <w:uiPriority w:val="0"/>
    <w:rPr>
      <w:rFonts w:ascii="Symbol" w:hAnsi="Symbol" w:cs="Symbol"/>
      <w:color w:val="000000"/>
      <w:sz w:val="16"/>
      <w:szCs w:val="16"/>
      <w:u w:val="none"/>
    </w:rPr>
  </w:style>
  <w:style w:type="character" w:customStyle="1" w:styleId="27">
    <w:name w:val="font41"/>
    <w:basedOn w:val="16"/>
    <w:qFormat/>
    <w:uiPriority w:val="0"/>
    <w:rPr>
      <w:rFonts w:hint="eastAsia" w:ascii="宋体" w:hAnsi="宋体" w:eastAsia="宋体" w:cs="宋体"/>
      <w:color w:val="000000"/>
      <w:sz w:val="16"/>
      <w:szCs w:val="16"/>
      <w:u w:val="none"/>
    </w:rPr>
  </w:style>
  <w:style w:type="paragraph" w:customStyle="1" w:styleId="28">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17</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2024-12-04T01:18:00Z</cp:lastPrinted>
  <dcterms:modified xsi:type="dcterms:W3CDTF">2025-02-24T02:05:22Z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