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val="0"/>
        <w:spacing w:line="460" w:lineRule="exact"/>
        <w:ind w:left="0" w:leftChars="0" w:firstLine="0" w:firstLineChars="0"/>
        <w:jc w:val="center"/>
        <w:textAlignment w:val="auto"/>
        <w:outlineLvl w:val="9"/>
        <w:rPr>
          <w:rFonts w:hint="eastAsia" w:cs="宋体"/>
          <w:b/>
          <w:bCs w:val="0"/>
          <w:color w:val="auto"/>
          <w:sz w:val="32"/>
          <w:szCs w:val="32"/>
          <w:lang w:val="en-US" w:eastAsia="zh-CN"/>
        </w:rPr>
      </w:pPr>
      <w:r>
        <w:rPr>
          <w:rFonts w:hint="eastAsia" w:cs="宋体"/>
          <w:b/>
          <w:bCs w:val="0"/>
          <w:color w:val="auto"/>
          <w:sz w:val="32"/>
          <w:szCs w:val="32"/>
          <w:lang w:eastAsia="zh-CN"/>
        </w:rPr>
        <w:t>广东省河源监狱划道路交通标志线等项目（</w:t>
      </w:r>
      <w:r>
        <w:rPr>
          <w:rFonts w:hint="eastAsia" w:cs="宋体"/>
          <w:b/>
          <w:bCs w:val="0"/>
          <w:color w:val="auto"/>
          <w:sz w:val="32"/>
          <w:szCs w:val="32"/>
          <w:lang w:val="en-US" w:eastAsia="zh-CN"/>
        </w:rPr>
        <w:t>重招</w:t>
      </w:r>
      <w:r>
        <w:rPr>
          <w:rFonts w:hint="eastAsia" w:cs="宋体"/>
          <w:b/>
          <w:bCs w:val="0"/>
          <w:color w:val="auto"/>
          <w:sz w:val="32"/>
          <w:szCs w:val="32"/>
          <w:lang w:eastAsia="zh-CN"/>
        </w:rPr>
        <w:t>）</w:t>
      </w:r>
      <w:r>
        <w:rPr>
          <w:rFonts w:hint="eastAsia" w:cs="宋体"/>
          <w:b/>
          <w:bCs w:val="0"/>
          <w:color w:val="auto"/>
          <w:sz w:val="32"/>
          <w:szCs w:val="32"/>
          <w:lang w:val="en-US" w:eastAsia="zh-CN"/>
        </w:rPr>
        <w:t>采购公告</w:t>
      </w:r>
    </w:p>
    <w:p>
      <w:pPr>
        <w:pStyle w:val="3"/>
        <w:rPr>
          <w:rFonts w:hint="default"/>
          <w:lang w:val="en-US" w:eastAsia="zh-CN"/>
        </w:rPr>
      </w:pPr>
    </w:p>
    <w:p>
      <w:pPr>
        <w:keepNext w:val="0"/>
        <w:keepLines w:val="0"/>
        <w:pageBreakBefore w:val="0"/>
        <w:widowControl w:val="0"/>
        <w:kinsoku/>
        <w:wordWrap/>
        <w:overflowPunct/>
        <w:topLinePunct w:val="0"/>
        <w:bidi w:val="0"/>
        <w:adjustRightInd w:val="0"/>
        <w:snapToGrid w:val="0"/>
        <w:spacing w:line="400" w:lineRule="exact"/>
        <w:ind w:firstLine="420" w:firstLineChars="200"/>
        <w:textAlignment w:val="auto"/>
        <w:rPr>
          <w:bCs/>
          <w:color w:val="auto"/>
          <w:sz w:val="21"/>
          <w:szCs w:val="21"/>
        </w:rPr>
      </w:pPr>
      <w:r>
        <w:rPr>
          <w:rFonts w:hint="eastAsia"/>
          <w:sz w:val="21"/>
          <w:szCs w:val="21"/>
          <w:lang w:eastAsia="zh-CN"/>
        </w:rPr>
        <w:t>广东省河源监狱</w:t>
      </w:r>
      <w:r>
        <w:rPr>
          <w:rFonts w:hint="eastAsia"/>
          <w:sz w:val="21"/>
          <w:szCs w:val="21"/>
        </w:rPr>
        <w:t>（以下简称</w:t>
      </w:r>
      <w:r>
        <w:rPr>
          <w:rFonts w:hint="eastAsia"/>
          <w:sz w:val="21"/>
          <w:szCs w:val="21"/>
          <w:lang w:eastAsia="zh-CN"/>
        </w:rPr>
        <w:t>“</w:t>
      </w:r>
      <w:r>
        <w:rPr>
          <w:rFonts w:hint="eastAsia"/>
          <w:sz w:val="21"/>
          <w:szCs w:val="21"/>
        </w:rPr>
        <w:t>采购人</w:t>
      </w:r>
      <w:r>
        <w:rPr>
          <w:rFonts w:hint="eastAsia"/>
          <w:sz w:val="21"/>
          <w:szCs w:val="21"/>
          <w:lang w:eastAsia="zh-CN"/>
        </w:rPr>
        <w:t>”</w:t>
      </w:r>
      <w:r>
        <w:rPr>
          <w:rFonts w:hint="eastAsia"/>
          <w:sz w:val="21"/>
          <w:szCs w:val="21"/>
        </w:rPr>
        <w:t>）</w:t>
      </w:r>
      <w:r>
        <w:rPr>
          <w:rFonts w:hint="eastAsia"/>
          <w:sz w:val="21"/>
          <w:szCs w:val="21"/>
          <w:lang w:eastAsia="zh-CN"/>
        </w:rPr>
        <w:t>计划采用议价方式，选取划道路交通标志线等项目合作供应商</w:t>
      </w:r>
      <w:r>
        <w:rPr>
          <w:rFonts w:hint="eastAsia"/>
          <w:sz w:val="21"/>
          <w:szCs w:val="21"/>
        </w:rPr>
        <w:t>，欢迎符合资格条件的</w:t>
      </w:r>
      <w:r>
        <w:rPr>
          <w:rFonts w:hint="eastAsia"/>
          <w:bCs/>
          <w:sz w:val="21"/>
          <w:szCs w:val="21"/>
          <w:lang w:val="en-US"/>
        </w:rPr>
        <w:t>供应商参加</w:t>
      </w:r>
      <w:r>
        <w:rPr>
          <w:rFonts w:hint="eastAsia"/>
          <w:sz w:val="21"/>
          <w:szCs w:val="21"/>
        </w:rPr>
        <w:t>。本项目将优先确定</w:t>
      </w:r>
      <w:r>
        <w:rPr>
          <w:rFonts w:hint="eastAsia"/>
          <w:color w:val="auto"/>
          <w:sz w:val="21"/>
          <w:szCs w:val="21"/>
        </w:rPr>
        <w:t>符合相应资格条件的自主创新产品、节能产品、环保产品供应商参加</w:t>
      </w:r>
      <w:r>
        <w:rPr>
          <w:rFonts w:hint="eastAsia"/>
          <w:color w:val="auto"/>
          <w:sz w:val="21"/>
          <w:szCs w:val="21"/>
          <w:lang w:eastAsia="zh-CN"/>
        </w:rPr>
        <w:t>议价</w:t>
      </w:r>
      <w:r>
        <w:rPr>
          <w:rFonts w:hint="eastAsia"/>
          <w:color w:val="auto"/>
          <w:sz w:val="21"/>
          <w:szCs w:val="21"/>
        </w:rPr>
        <w:t>。</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400" w:lineRule="exact"/>
        <w:ind w:left="0" w:leftChars="0" w:right="0" w:rightChars="0" w:firstLine="441" w:firstLineChars="183"/>
        <w:jc w:val="left"/>
        <w:textAlignment w:val="auto"/>
        <w:outlineLvl w:val="9"/>
        <w:rPr>
          <w:rFonts w:hint="eastAsia" w:cs="宋体"/>
          <w:b/>
          <w:color w:val="auto"/>
          <w:sz w:val="24"/>
          <w:szCs w:val="24"/>
          <w:lang w:val="en-US" w:eastAsia="zh-CN"/>
        </w:rPr>
      </w:pPr>
      <w:bookmarkStart w:id="0" w:name="_Toc19426"/>
      <w:r>
        <w:rPr>
          <w:rFonts w:hint="eastAsia" w:cs="宋体"/>
          <w:b/>
          <w:color w:val="auto"/>
          <w:sz w:val="24"/>
          <w:szCs w:val="24"/>
          <w:lang w:val="en-US" w:eastAsia="zh-CN"/>
        </w:rPr>
        <w:t>一、项目概况</w:t>
      </w:r>
      <w:bookmarkEnd w:id="0"/>
    </w:p>
    <w:p>
      <w:pPr>
        <w:keepNext w:val="0"/>
        <w:keepLines w:val="0"/>
        <w:pageBreakBefore w:val="0"/>
        <w:widowControl w:val="0"/>
        <w:tabs>
          <w:tab w:val="left" w:pos="142"/>
          <w:tab w:val="left" w:pos="425"/>
        </w:tabs>
        <w:kinsoku/>
        <w:wordWrap/>
        <w:overflowPunct/>
        <w:topLinePunct w:val="0"/>
        <w:bidi w:val="0"/>
        <w:adjustRightInd w:val="0"/>
        <w:snapToGrid w:val="0"/>
        <w:spacing w:line="400" w:lineRule="exact"/>
        <w:ind w:left="0" w:leftChars="0" w:firstLine="384" w:firstLineChars="183"/>
        <w:textAlignment w:val="auto"/>
        <w:rPr>
          <w:rFonts w:hint="default" w:cs="宋体"/>
          <w:bCs/>
          <w:color w:val="auto"/>
          <w:sz w:val="21"/>
          <w:szCs w:val="21"/>
          <w:lang w:val="en-US" w:eastAsia="zh-CN"/>
        </w:rPr>
      </w:pPr>
      <w:r>
        <w:rPr>
          <w:rFonts w:hint="eastAsia" w:ascii="宋体" w:hAnsi="宋体" w:eastAsia="宋体" w:cs="宋体"/>
          <w:bCs/>
          <w:color w:val="auto"/>
          <w:sz w:val="21"/>
          <w:szCs w:val="21"/>
          <w:lang w:val="en-US"/>
        </w:rPr>
        <w:t>（一）采购项目编号</w:t>
      </w:r>
      <w:r>
        <w:rPr>
          <w:rFonts w:hint="eastAsia" w:ascii="宋体" w:hAnsi="宋体" w:eastAsia="宋体" w:cs="宋体"/>
          <w:bCs/>
          <w:color w:val="auto"/>
          <w:sz w:val="21"/>
          <w:szCs w:val="21"/>
        </w:rPr>
        <w:t>：</w:t>
      </w:r>
      <w:r>
        <w:rPr>
          <w:rFonts w:hint="eastAsia" w:cs="宋体"/>
          <w:bCs/>
          <w:color w:val="auto"/>
          <w:sz w:val="21"/>
          <w:szCs w:val="21"/>
          <w:lang w:val="en-US" w:eastAsia="zh-CN"/>
        </w:rPr>
        <w:t>2025005</w:t>
      </w:r>
    </w:p>
    <w:p>
      <w:pPr>
        <w:keepNext w:val="0"/>
        <w:keepLines w:val="0"/>
        <w:pageBreakBefore w:val="0"/>
        <w:widowControl w:val="0"/>
        <w:tabs>
          <w:tab w:val="left" w:pos="142"/>
          <w:tab w:val="left" w:pos="425"/>
        </w:tabs>
        <w:kinsoku/>
        <w:wordWrap/>
        <w:overflowPunct/>
        <w:topLinePunct w:val="0"/>
        <w:bidi w:val="0"/>
        <w:adjustRightInd w:val="0"/>
        <w:snapToGrid w:val="0"/>
        <w:spacing w:line="400" w:lineRule="exact"/>
        <w:ind w:left="0" w:leftChars="0" w:firstLine="384" w:firstLineChars="183"/>
        <w:textAlignment w:val="auto"/>
        <w:rPr>
          <w:rFonts w:hint="eastAsia" w:ascii="宋体" w:hAnsi="宋体" w:eastAsia="宋体" w:cs="宋体"/>
          <w:color w:val="auto"/>
          <w:sz w:val="21"/>
          <w:szCs w:val="21"/>
        </w:rPr>
      </w:pPr>
      <w:r>
        <w:rPr>
          <w:rFonts w:hint="eastAsia" w:ascii="宋体" w:hAnsi="宋体" w:eastAsia="宋体" w:cs="宋体"/>
          <w:bCs/>
          <w:color w:val="auto"/>
          <w:sz w:val="21"/>
          <w:szCs w:val="21"/>
          <w:lang w:val="en-US"/>
        </w:rPr>
        <w:t>（二）</w:t>
      </w:r>
      <w:r>
        <w:rPr>
          <w:rFonts w:hint="eastAsia" w:ascii="宋体" w:hAnsi="宋体" w:eastAsia="宋体" w:cs="宋体"/>
          <w:bCs/>
          <w:color w:val="auto"/>
          <w:sz w:val="21"/>
          <w:szCs w:val="21"/>
        </w:rPr>
        <w:t>采购项目名称：</w:t>
      </w:r>
      <w:r>
        <w:rPr>
          <w:rFonts w:hint="eastAsia" w:cs="宋体"/>
          <w:bCs/>
          <w:color w:val="auto"/>
          <w:sz w:val="21"/>
          <w:szCs w:val="21"/>
          <w:lang w:eastAsia="zh-CN"/>
        </w:rPr>
        <w:t>广东省河源监狱划道路交通标志线等项目（</w:t>
      </w:r>
      <w:r>
        <w:rPr>
          <w:rFonts w:hint="eastAsia" w:cs="宋体"/>
          <w:bCs/>
          <w:color w:val="auto"/>
          <w:sz w:val="21"/>
          <w:szCs w:val="21"/>
          <w:lang w:val="en-US" w:eastAsia="zh-CN"/>
        </w:rPr>
        <w:t>重招</w:t>
      </w:r>
      <w:r>
        <w:rPr>
          <w:rFonts w:hint="eastAsia" w:cs="宋体"/>
          <w:bCs/>
          <w:color w:val="auto"/>
          <w:sz w:val="21"/>
          <w:szCs w:val="21"/>
          <w:lang w:eastAsia="zh-CN"/>
        </w:rPr>
        <w:t>）</w:t>
      </w:r>
    </w:p>
    <w:p>
      <w:pPr>
        <w:keepNext w:val="0"/>
        <w:keepLines w:val="0"/>
        <w:pageBreakBefore w:val="0"/>
        <w:widowControl w:val="0"/>
        <w:tabs>
          <w:tab w:val="left" w:pos="142"/>
          <w:tab w:val="left" w:pos="425"/>
        </w:tabs>
        <w:kinsoku/>
        <w:wordWrap/>
        <w:overflowPunct/>
        <w:topLinePunct w:val="0"/>
        <w:bidi w:val="0"/>
        <w:adjustRightInd w:val="0"/>
        <w:snapToGrid w:val="0"/>
        <w:spacing w:line="400" w:lineRule="exact"/>
        <w:ind w:left="0" w:leftChars="0" w:firstLine="384" w:firstLineChars="183"/>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rPr>
        <w:t>（三）</w:t>
      </w:r>
      <w:r>
        <w:rPr>
          <w:rFonts w:hint="eastAsia" w:ascii="宋体" w:hAnsi="宋体" w:eastAsia="宋体" w:cs="宋体"/>
          <w:bCs/>
          <w:color w:val="auto"/>
          <w:sz w:val="21"/>
          <w:szCs w:val="21"/>
        </w:rPr>
        <w:t>采购预算金额：</w:t>
      </w:r>
      <w:r>
        <w:rPr>
          <w:rFonts w:hint="eastAsia"/>
          <w:bCs/>
          <w:color w:val="auto"/>
          <w:sz w:val="21"/>
          <w:szCs w:val="21"/>
          <w:lang w:val="en-US" w:eastAsia="zh-CN"/>
        </w:rPr>
        <w:t>63555.77元（</w:t>
      </w:r>
      <w:r>
        <w:rPr>
          <w:rFonts w:hint="eastAsia" w:ascii="宋体" w:hAnsi="宋体" w:eastAsia="宋体" w:cs="宋体"/>
          <w:bCs/>
          <w:color w:val="auto"/>
          <w:sz w:val="21"/>
          <w:szCs w:val="21"/>
          <w:lang w:val="en-US"/>
        </w:rPr>
        <w:t>大</w:t>
      </w:r>
      <w:r>
        <w:rPr>
          <w:rFonts w:hint="eastAsia"/>
          <w:bCs/>
          <w:color w:val="auto"/>
          <w:sz w:val="21"/>
          <w:szCs w:val="21"/>
          <w:lang w:val="en-US"/>
        </w:rPr>
        <w:t>写：</w:t>
      </w:r>
      <w:r>
        <w:rPr>
          <w:rFonts w:hint="eastAsia"/>
          <w:bCs/>
          <w:color w:val="auto"/>
          <w:sz w:val="21"/>
          <w:szCs w:val="21"/>
          <w:lang w:val="en-US" w:eastAsia="zh-CN"/>
        </w:rPr>
        <w:t>陆万叁仟伍佰伍拾伍元柒角柒分，含</w:t>
      </w:r>
      <w:r>
        <w:rPr>
          <w:rFonts w:hint="eastAsia" w:cs="宋体"/>
          <w:bCs/>
          <w:color w:val="auto"/>
          <w:sz w:val="21"/>
          <w:szCs w:val="21"/>
          <w:lang w:eastAsia="zh-CN"/>
        </w:rPr>
        <w:t>绿色施工安全防护措施费</w:t>
      </w:r>
      <w:r>
        <w:rPr>
          <w:rFonts w:hint="eastAsia" w:cs="宋体"/>
          <w:bCs/>
          <w:color w:val="auto"/>
          <w:sz w:val="21"/>
          <w:szCs w:val="21"/>
          <w:lang w:val="en-US" w:eastAsia="zh-CN"/>
        </w:rPr>
        <w:t>2617.57元，该</w:t>
      </w:r>
      <w:r>
        <w:rPr>
          <w:rFonts w:hint="eastAsia" w:asciiTheme="minorEastAsia" w:hAnsiTheme="minorEastAsia" w:eastAsiaTheme="minorEastAsia" w:cstheme="minorEastAsia"/>
          <w:b w:val="0"/>
          <w:bCs w:val="0"/>
          <w:i w:val="0"/>
          <w:iCs w:val="0"/>
          <w:sz w:val="21"/>
          <w:szCs w:val="21"/>
          <w:u w:val="none"/>
          <w:lang w:val="en-US" w:eastAsia="zh-CN"/>
        </w:rPr>
        <w:t>措施费</w:t>
      </w:r>
      <w:r>
        <w:rPr>
          <w:rFonts w:hint="eastAsia" w:asciiTheme="minorEastAsia" w:hAnsiTheme="minorEastAsia" w:eastAsiaTheme="minorEastAsia" w:cstheme="minorEastAsia"/>
          <w:b w:val="0"/>
          <w:bCs w:val="0"/>
          <w:i w:val="0"/>
          <w:iCs w:val="0"/>
          <w:sz w:val="21"/>
          <w:szCs w:val="21"/>
          <w:u w:val="none"/>
          <w:lang w:val="en-US"/>
        </w:rPr>
        <w:t>为不可竞争费用</w:t>
      </w:r>
      <w:r>
        <w:rPr>
          <w:rFonts w:hint="eastAsia"/>
          <w:bCs/>
          <w:color w:val="auto"/>
          <w:sz w:val="21"/>
          <w:szCs w:val="21"/>
          <w:lang w:val="en-US"/>
        </w:rPr>
        <w:t>）报价高于本预算金额（最高限价）的视为无效报价</w:t>
      </w:r>
      <w:r>
        <w:rPr>
          <w:rFonts w:hint="eastAsia"/>
          <w:bCs/>
          <w:color w:val="auto"/>
          <w:sz w:val="21"/>
          <w:szCs w:val="21"/>
          <w:lang w:val="en-US" w:eastAsia="zh-CN"/>
        </w:rPr>
        <w:t>。</w:t>
      </w:r>
    </w:p>
    <w:p>
      <w:pPr>
        <w:keepNext w:val="0"/>
        <w:keepLines w:val="0"/>
        <w:pageBreakBefore w:val="0"/>
        <w:widowControl w:val="0"/>
        <w:tabs>
          <w:tab w:val="left" w:pos="142"/>
          <w:tab w:val="left" w:pos="425"/>
        </w:tabs>
        <w:kinsoku/>
        <w:wordWrap/>
        <w:overflowPunct/>
        <w:topLinePunct w:val="0"/>
        <w:bidi w:val="0"/>
        <w:adjustRightInd w:val="0"/>
        <w:snapToGrid w:val="0"/>
        <w:spacing w:line="400" w:lineRule="exact"/>
        <w:ind w:left="0" w:leftChars="0" w:firstLine="384" w:firstLineChars="183"/>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val="en-US"/>
        </w:rPr>
        <w:t>（四）</w:t>
      </w:r>
      <w:r>
        <w:rPr>
          <w:rFonts w:hint="eastAsia" w:ascii="宋体" w:hAnsi="宋体" w:eastAsia="宋体" w:cs="宋体"/>
          <w:bCs/>
          <w:color w:val="auto"/>
          <w:sz w:val="21"/>
          <w:szCs w:val="21"/>
        </w:rPr>
        <w:t>采购数量：1</w:t>
      </w:r>
      <w:r>
        <w:rPr>
          <w:rFonts w:hint="eastAsia" w:ascii="宋体" w:hAnsi="宋体" w:eastAsia="宋体" w:cs="宋体"/>
          <w:bCs/>
          <w:color w:val="auto"/>
          <w:sz w:val="21"/>
          <w:szCs w:val="21"/>
          <w:lang w:val="en-US"/>
        </w:rPr>
        <w:t>项</w:t>
      </w:r>
      <w:r>
        <w:rPr>
          <w:rFonts w:hint="eastAsia" w:ascii="宋体" w:hAnsi="宋体" w:eastAsia="宋体" w:cs="宋体"/>
          <w:bCs/>
          <w:color w:val="auto"/>
          <w:sz w:val="21"/>
          <w:szCs w:val="21"/>
        </w:rPr>
        <w:t>。</w:t>
      </w:r>
    </w:p>
    <w:p>
      <w:pPr>
        <w:keepNext w:val="0"/>
        <w:keepLines w:val="0"/>
        <w:pageBreakBefore w:val="0"/>
        <w:widowControl w:val="0"/>
        <w:kinsoku/>
        <w:wordWrap/>
        <w:overflowPunct/>
        <w:topLinePunct w:val="0"/>
        <w:bidi w:val="0"/>
        <w:adjustRightInd w:val="0"/>
        <w:snapToGrid w:val="0"/>
        <w:spacing w:line="400" w:lineRule="exact"/>
        <w:ind w:left="0" w:leftChars="0" w:firstLine="384" w:firstLineChars="183"/>
        <w:textAlignment w:val="auto"/>
        <w:rPr>
          <w:rFonts w:hint="eastAsia" w:ascii="宋体" w:hAnsi="宋体" w:eastAsia="宋体" w:cs="宋体"/>
          <w:bCs/>
          <w:sz w:val="21"/>
          <w:szCs w:val="21"/>
        </w:rPr>
      </w:pPr>
      <w:r>
        <w:rPr>
          <w:rFonts w:hint="eastAsia" w:ascii="宋体" w:hAnsi="宋体" w:eastAsia="宋体" w:cs="宋体"/>
          <w:bCs/>
          <w:sz w:val="21"/>
          <w:szCs w:val="21"/>
          <w:lang w:val="en-US"/>
        </w:rPr>
        <w:t>（五）</w:t>
      </w:r>
      <w:r>
        <w:rPr>
          <w:rFonts w:hint="eastAsia" w:ascii="宋体" w:hAnsi="宋体" w:eastAsia="宋体" w:cs="宋体"/>
          <w:bCs/>
          <w:sz w:val="21"/>
          <w:szCs w:val="21"/>
        </w:rPr>
        <w:t>采购项目内容及需求 :详见</w:t>
      </w:r>
      <w:r>
        <w:rPr>
          <w:rFonts w:hint="eastAsia" w:cs="宋体"/>
          <w:bCs/>
          <w:sz w:val="21"/>
          <w:szCs w:val="21"/>
          <w:lang w:eastAsia="zh-CN"/>
        </w:rPr>
        <w:t>采购</w:t>
      </w:r>
      <w:r>
        <w:rPr>
          <w:rFonts w:hint="eastAsia" w:ascii="宋体" w:hAnsi="宋体" w:eastAsia="宋体" w:cs="宋体"/>
          <w:bCs/>
          <w:sz w:val="21"/>
          <w:szCs w:val="21"/>
        </w:rPr>
        <w:t>文件中的“用户需求书”。</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before="0" w:after="0" w:line="400" w:lineRule="exact"/>
        <w:ind w:left="0" w:leftChars="0" w:right="0" w:rightChars="0" w:firstLine="441" w:firstLineChars="183"/>
        <w:jc w:val="left"/>
        <w:textAlignment w:val="auto"/>
        <w:outlineLvl w:val="9"/>
        <w:rPr>
          <w:rFonts w:hint="eastAsia" w:cs="宋体"/>
          <w:b/>
          <w:color w:val="auto"/>
          <w:sz w:val="24"/>
          <w:szCs w:val="24"/>
          <w:lang w:val="en-US" w:eastAsia="zh-CN"/>
        </w:rPr>
      </w:pPr>
      <w:r>
        <w:rPr>
          <w:rFonts w:hint="eastAsia" w:cs="宋体"/>
          <w:b/>
          <w:color w:val="auto"/>
          <w:sz w:val="24"/>
          <w:szCs w:val="24"/>
          <w:lang w:val="en-US" w:eastAsia="zh-CN"/>
        </w:rPr>
        <w:t>二、合格供应商的资格要求</w:t>
      </w:r>
    </w:p>
    <w:p>
      <w:pPr>
        <w:pageBreakBefore w:val="0"/>
        <w:kinsoku/>
        <w:wordWrap/>
        <w:overflowPunct/>
        <w:topLinePunct w:val="0"/>
        <w:bidi w:val="0"/>
        <w:spacing w:line="340" w:lineRule="exact"/>
        <w:ind w:left="0" w:leftChars="0" w:firstLine="440" w:firstLineChars="200"/>
        <w:rPr>
          <w:rFonts w:hint="eastAsia"/>
          <w:lang w:eastAsia="zh-CN"/>
        </w:rPr>
      </w:pPr>
      <w:bookmarkStart w:id="1" w:name="_Toc6459"/>
      <w:r>
        <w:rPr>
          <w:rFonts w:hint="eastAsia"/>
          <w:lang w:eastAsia="zh-CN"/>
        </w:rPr>
        <w:t>（</w:t>
      </w:r>
      <w:r>
        <w:rPr>
          <w:rFonts w:hint="eastAsia"/>
          <w:lang w:val="en-US" w:eastAsia="zh-CN"/>
        </w:rPr>
        <w:t>一）</w:t>
      </w:r>
      <w:r>
        <w:rPr>
          <w:rFonts w:hint="eastAsia"/>
          <w:lang w:eastAsia="zh-CN"/>
        </w:rPr>
        <w:t>具有独立承担民事责任的</w:t>
      </w:r>
      <w:r>
        <w:rPr>
          <w:rFonts w:hint="eastAsia"/>
          <w:lang w:val="en-US" w:eastAsia="zh-CN"/>
        </w:rPr>
        <w:t>能力，</w:t>
      </w:r>
      <w:r>
        <w:rPr>
          <w:rFonts w:hint="eastAsia"/>
          <w:lang w:eastAsia="zh-CN"/>
        </w:rPr>
        <w:t>在中华人民共和国境内注册的法人或其他组织。</w:t>
      </w:r>
    </w:p>
    <w:p>
      <w:pPr>
        <w:pageBreakBefore w:val="0"/>
        <w:kinsoku/>
        <w:wordWrap/>
        <w:overflowPunct/>
        <w:topLinePunct w:val="0"/>
        <w:bidi w:val="0"/>
        <w:spacing w:line="340" w:lineRule="exact"/>
        <w:ind w:left="0" w:leftChars="0" w:firstLine="440" w:firstLineChars="200"/>
        <w:rPr>
          <w:rFonts w:hint="eastAsia"/>
          <w:lang w:eastAsia="zh-CN"/>
        </w:rPr>
      </w:pPr>
      <w:bookmarkStart w:id="2" w:name="_Hlk57820465"/>
      <w:r>
        <w:rPr>
          <w:rFonts w:hint="eastAsia"/>
          <w:lang w:eastAsia="zh-CN"/>
        </w:rPr>
        <w:t>（</w:t>
      </w:r>
      <w:r>
        <w:rPr>
          <w:rFonts w:hint="eastAsia"/>
          <w:lang w:val="en-US" w:eastAsia="zh-CN"/>
        </w:rPr>
        <w:t>二）</w:t>
      </w:r>
      <w:bookmarkEnd w:id="2"/>
      <w:r>
        <w:rPr>
          <w:rFonts w:hint="eastAsia"/>
          <w:lang w:eastAsia="zh-CN"/>
        </w:rPr>
        <w:t>具有履行本项目</w:t>
      </w:r>
      <w:r>
        <w:rPr>
          <w:rFonts w:hint="eastAsia"/>
          <w:lang w:val="en-US" w:eastAsia="zh-CN"/>
        </w:rPr>
        <w:t>所必需</w:t>
      </w:r>
      <w:r>
        <w:rPr>
          <w:rFonts w:hint="eastAsia"/>
          <w:lang w:eastAsia="zh-CN"/>
        </w:rPr>
        <w:t>的</w:t>
      </w:r>
      <w:r>
        <w:rPr>
          <w:rFonts w:hint="eastAsia"/>
          <w:lang w:val="en-US" w:eastAsia="zh-CN"/>
        </w:rPr>
        <w:t>设备和专业技术</w:t>
      </w:r>
      <w:r>
        <w:rPr>
          <w:rFonts w:hint="eastAsia"/>
          <w:lang w:eastAsia="zh-CN"/>
        </w:rPr>
        <w:t>能力。</w:t>
      </w:r>
    </w:p>
    <w:p>
      <w:pPr>
        <w:pageBreakBefore w:val="0"/>
        <w:kinsoku/>
        <w:wordWrap/>
        <w:overflowPunct/>
        <w:topLinePunct w:val="0"/>
        <w:bidi w:val="0"/>
        <w:spacing w:line="340" w:lineRule="exact"/>
        <w:ind w:left="0" w:leftChars="0" w:firstLine="440" w:firstLineChars="200"/>
        <w:rPr>
          <w:rFonts w:hint="eastAsia"/>
          <w:lang w:eastAsia="zh-CN"/>
        </w:rPr>
      </w:pPr>
      <w:r>
        <w:rPr>
          <w:rFonts w:hint="eastAsia"/>
          <w:lang w:eastAsia="zh-CN"/>
        </w:rPr>
        <w:t>（</w:t>
      </w:r>
      <w:r>
        <w:rPr>
          <w:rFonts w:hint="eastAsia"/>
          <w:lang w:val="en-US" w:eastAsia="zh-CN"/>
        </w:rPr>
        <w:t>三）</w:t>
      </w:r>
      <w:r>
        <w:rPr>
          <w:rFonts w:hint="eastAsia"/>
          <w:lang w:eastAsia="zh-CN"/>
        </w:rPr>
        <w:t>供应商</w:t>
      </w:r>
      <w:r>
        <w:rPr>
          <w:rFonts w:hint="eastAsia"/>
          <w:lang w:val="en-US" w:eastAsia="zh-CN"/>
        </w:rPr>
        <w:t>的</w:t>
      </w:r>
      <w:r>
        <w:rPr>
          <w:rFonts w:hint="eastAsia"/>
          <w:lang w:eastAsia="zh-CN"/>
        </w:rPr>
        <w:t>法定代表人或单位负责人与所参投的本项目其他供应商的法定代表人或单位负责人不</w:t>
      </w:r>
      <w:r>
        <w:rPr>
          <w:rFonts w:hint="eastAsia"/>
          <w:lang w:val="en-US" w:eastAsia="zh-CN"/>
        </w:rPr>
        <w:t>得</w:t>
      </w:r>
      <w:r>
        <w:rPr>
          <w:rFonts w:hint="eastAsia"/>
          <w:lang w:eastAsia="zh-CN"/>
        </w:rPr>
        <w:t>为同一人且与其他供应商之间不</w:t>
      </w:r>
      <w:r>
        <w:rPr>
          <w:rFonts w:hint="eastAsia"/>
          <w:lang w:val="en-US" w:eastAsia="zh-CN"/>
        </w:rPr>
        <w:t>得</w:t>
      </w:r>
      <w:r>
        <w:rPr>
          <w:rFonts w:hint="eastAsia"/>
          <w:lang w:eastAsia="zh-CN"/>
        </w:rPr>
        <w:t>存在直接控股、管理关系。</w:t>
      </w:r>
    </w:p>
    <w:p>
      <w:pPr>
        <w:pStyle w:val="2"/>
        <w:rPr>
          <w:rFonts w:hint="default"/>
          <w:b/>
          <w:bCs/>
          <w:lang w:val="en-US" w:eastAsia="zh-CN"/>
        </w:rPr>
      </w:pPr>
      <w:r>
        <w:rPr>
          <w:rFonts w:hint="eastAsia"/>
          <w:b/>
          <w:bCs/>
          <w:lang w:eastAsia="zh-CN"/>
        </w:rPr>
        <w:t>（</w:t>
      </w:r>
      <w:r>
        <w:rPr>
          <w:rFonts w:hint="eastAsia"/>
          <w:b/>
          <w:bCs/>
          <w:lang w:val="en-US" w:eastAsia="zh-CN"/>
        </w:rPr>
        <w:t>四</w:t>
      </w:r>
      <w:r>
        <w:rPr>
          <w:rFonts w:hint="eastAsia"/>
          <w:b/>
          <w:bCs/>
          <w:lang w:eastAsia="zh-CN"/>
        </w:rPr>
        <w:t>）</w:t>
      </w:r>
      <w:r>
        <w:rPr>
          <w:rFonts w:hint="eastAsia"/>
          <w:b/>
          <w:bCs/>
          <w:lang w:val="en-US" w:eastAsia="zh-CN"/>
        </w:rPr>
        <w:t>具有建筑装修装饰工程专业承包二级（或以上）或市政工程专业承包三级（或以上）资质条件。</w:t>
      </w:r>
    </w:p>
    <w:p>
      <w:pPr>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三、报名方式及时间</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响应供应商</w:t>
      </w:r>
      <w:r>
        <w:rPr>
          <w:rFonts w:hint="eastAsia" w:asciiTheme="minorEastAsia" w:hAnsiTheme="minorEastAsia" w:eastAsiaTheme="minorEastAsia" w:cstheme="minorEastAsia"/>
          <w:sz w:val="21"/>
          <w:szCs w:val="21"/>
          <w:lang w:eastAsia="zh-CN"/>
        </w:rPr>
        <w:t>请于</w:t>
      </w:r>
      <w:r>
        <w:rPr>
          <w:rFonts w:hint="eastAsia" w:asciiTheme="minorEastAsia" w:hAnsiTheme="minorEastAsia" w:eastAsiaTheme="minorEastAsia" w:cstheme="minorEastAsia"/>
          <w:sz w:val="21"/>
          <w:szCs w:val="21"/>
          <w:u w:val="single"/>
          <w:lang w:val="en-US" w:eastAsia="zh-CN"/>
        </w:rPr>
        <w:t>2025</w:t>
      </w:r>
      <w:r>
        <w:rPr>
          <w:rFonts w:hint="eastAsia" w:asciiTheme="minorEastAsia" w:hAnsiTheme="minorEastAsia" w:eastAsiaTheme="minorEastAsia" w:cstheme="minorEastAsia"/>
          <w:sz w:val="21"/>
          <w:szCs w:val="21"/>
          <w:lang w:val="en-US" w:eastAsia="zh-CN"/>
        </w:rPr>
        <w:t>年</w:t>
      </w:r>
      <w:r>
        <w:rPr>
          <w:rFonts w:hint="eastAsia" w:asciiTheme="minorEastAsia" w:hAnsiTheme="minorEastAsia" w:eastAsiaTheme="minorEastAsia" w:cstheme="minorEastAsia"/>
          <w:sz w:val="21"/>
          <w:szCs w:val="21"/>
          <w:u w:val="single"/>
          <w:lang w:val="en-US" w:eastAsia="zh-CN"/>
        </w:rPr>
        <w:t>3</w:t>
      </w:r>
      <w:r>
        <w:rPr>
          <w:rFonts w:hint="eastAsia" w:asciiTheme="minorEastAsia" w:hAnsiTheme="minorEastAsia" w:eastAsiaTheme="minorEastAsia" w:cstheme="minorEastAsia"/>
          <w:sz w:val="21"/>
          <w:szCs w:val="21"/>
          <w:lang w:val="en-US" w:eastAsia="zh-CN"/>
        </w:rPr>
        <w:t>月</w:t>
      </w:r>
      <w:r>
        <w:rPr>
          <w:rFonts w:hint="eastAsia" w:asciiTheme="minorEastAsia" w:hAnsiTheme="minorEastAsia" w:eastAsiaTheme="minorEastAsia" w:cstheme="minorEastAsia"/>
          <w:sz w:val="21"/>
          <w:szCs w:val="21"/>
          <w:u w:val="single"/>
          <w:lang w:val="en-US" w:eastAsia="zh-CN"/>
        </w:rPr>
        <w:t>13</w:t>
      </w:r>
      <w:r>
        <w:rPr>
          <w:rFonts w:hint="eastAsia" w:asciiTheme="minorEastAsia" w:hAnsiTheme="minorEastAsia" w:eastAsiaTheme="minorEastAsia" w:cstheme="minorEastAsia"/>
          <w:sz w:val="21"/>
          <w:szCs w:val="21"/>
          <w:lang w:val="en-US" w:eastAsia="zh-CN"/>
        </w:rPr>
        <w:t>日</w:t>
      </w:r>
      <w:r>
        <w:rPr>
          <w:rFonts w:hint="eastAsia" w:asciiTheme="minorEastAsia" w:hAnsiTheme="minorEastAsia" w:eastAsiaTheme="minorEastAsia" w:cstheme="minorEastAsia"/>
          <w:sz w:val="21"/>
          <w:szCs w:val="21"/>
          <w:u w:val="single"/>
          <w:lang w:val="en-US" w:eastAsia="zh-CN"/>
        </w:rPr>
        <w:t>17：30</w:t>
      </w:r>
      <w:r>
        <w:rPr>
          <w:rFonts w:hint="eastAsia" w:asciiTheme="minorEastAsia" w:hAnsiTheme="minorEastAsia" w:eastAsiaTheme="minorEastAsia" w:cstheme="minorEastAsia"/>
          <w:sz w:val="21"/>
          <w:szCs w:val="21"/>
          <w:lang w:val="en-US" w:eastAsia="zh-CN"/>
        </w:rPr>
        <w:t>前，将《报名登记表》（附后）、</w:t>
      </w:r>
      <w:r>
        <w:rPr>
          <w:rFonts w:hint="eastAsia" w:asciiTheme="minorEastAsia" w:hAnsiTheme="minorEastAsia" w:eastAsiaTheme="minorEastAsia" w:cstheme="minorEastAsia"/>
          <w:bCs/>
          <w:color w:val="auto"/>
          <w:sz w:val="21"/>
          <w:szCs w:val="21"/>
          <w:lang w:val="en-US" w:eastAsia="zh-CN"/>
        </w:rPr>
        <w:t>营业执照副本复印件（加盖公章）</w:t>
      </w:r>
      <w:r>
        <w:rPr>
          <w:rFonts w:hint="eastAsia" w:asciiTheme="minorEastAsia" w:hAnsiTheme="minorEastAsia" w:eastAsiaTheme="minorEastAsia" w:cstheme="minorEastAsia"/>
          <w:sz w:val="21"/>
          <w:szCs w:val="21"/>
          <w:u w:val="none"/>
          <w:lang w:val="en-US" w:eastAsia="zh-CN"/>
        </w:rPr>
        <w:t>以PDF格式，</w:t>
      </w:r>
      <w:r>
        <w:rPr>
          <w:rFonts w:hint="eastAsia" w:asciiTheme="minorEastAsia" w:hAnsiTheme="minorEastAsia" w:eastAsiaTheme="minorEastAsia" w:cstheme="minorEastAsia"/>
          <w:sz w:val="21"/>
          <w:szCs w:val="21"/>
          <w:lang w:val="en-US" w:eastAsia="zh-CN"/>
        </w:rPr>
        <w:t>发送至电子邮箱hyjygck</w:t>
      </w:r>
      <w:r>
        <w:rPr>
          <w:rFonts w:hint="eastAsia" w:asciiTheme="minorEastAsia" w:hAnsiTheme="minorEastAsia" w:eastAsiaTheme="minorEastAsia" w:cstheme="minorEastAsia"/>
          <w:sz w:val="21"/>
          <w:szCs w:val="21"/>
          <w:u w:val="none"/>
          <w:lang w:val="en-US" w:eastAsia="zh-CN"/>
        </w:rPr>
        <w:t>@126.com</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none"/>
          <w:lang w:val="en-US" w:eastAsia="zh-CN"/>
        </w:rPr>
        <w:t>备注项目名称。</w:t>
      </w:r>
    </w:p>
    <w:p>
      <w:pPr>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四、现场踏勘</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460" w:lineRule="exact"/>
        <w:ind w:left="0" w:leftChars="0" w:firstLine="432" w:firstLineChars="206"/>
        <w:textAlignment w:val="auto"/>
        <w:rPr>
          <w:rFonts w:hint="eastAsia" w:asciiTheme="minorEastAsia" w:hAnsiTheme="minorEastAsia" w:eastAsiaTheme="minorEastAsia" w:cstheme="minorEastAsia"/>
          <w:bCs/>
          <w:color w:val="auto"/>
          <w:sz w:val="21"/>
          <w:szCs w:val="21"/>
          <w:lang w:val="en-US" w:eastAsia="zh-CN"/>
        </w:rPr>
      </w:pPr>
      <w:r>
        <w:rPr>
          <w:rFonts w:hint="eastAsia" w:asciiTheme="minorEastAsia" w:hAnsiTheme="minorEastAsia" w:eastAsiaTheme="minorEastAsia" w:cstheme="minorEastAsia"/>
          <w:bCs/>
          <w:color w:val="auto"/>
          <w:sz w:val="21"/>
          <w:szCs w:val="21"/>
          <w:u w:val="none"/>
          <w:lang w:val="en-US" w:eastAsia="zh-CN"/>
        </w:rPr>
        <w:t>无</w:t>
      </w:r>
      <w:r>
        <w:rPr>
          <w:rFonts w:hint="eastAsia" w:asciiTheme="minorEastAsia" w:hAnsiTheme="minorEastAsia" w:eastAsiaTheme="minorEastAsia" w:cstheme="minorEastAsia"/>
          <w:bCs/>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五、递交响应文件、议价时间及地点</w:t>
      </w:r>
    </w:p>
    <w:p>
      <w:pPr>
        <w:pStyle w:val="6"/>
        <w:keepNext w:val="0"/>
        <w:keepLines w:val="0"/>
        <w:pageBreakBefore w:val="0"/>
        <w:widowControl w:val="0"/>
        <w:numPr>
          <w:ilvl w:val="0"/>
          <w:numId w:val="0"/>
        </w:numPr>
        <w:kinsoku/>
        <w:wordWrap/>
        <w:overflowPunct/>
        <w:topLinePunct w:val="0"/>
        <w:autoSpaceDE/>
        <w:autoSpaceDN/>
        <w:bidi w:val="0"/>
        <w:adjustRightInd/>
        <w:spacing w:before="0" w:beforeAutospacing="0" w:after="0" w:afterAutospacing="0" w:line="400" w:lineRule="exact"/>
        <w:ind w:left="0" w:leftChars="0" w:firstLine="420" w:firstLineChars="200"/>
        <w:jc w:val="both"/>
        <w:textAlignment w:val="auto"/>
        <w:outlineLvl w:val="9"/>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 w:val="0"/>
          <w:bCs w:val="0"/>
          <w:sz w:val="21"/>
          <w:szCs w:val="21"/>
          <w:lang w:val="en-US" w:eastAsia="zh-CN"/>
        </w:rPr>
        <w:t>一</w:t>
      </w:r>
      <w:r>
        <w:rPr>
          <w:rFonts w:hint="eastAsia" w:asciiTheme="minorEastAsia" w:hAnsiTheme="minorEastAsia" w:eastAsiaTheme="minorEastAsia" w:cstheme="minorEastAsia"/>
          <w:b w:val="0"/>
          <w:bCs w:val="0"/>
          <w:sz w:val="21"/>
          <w:szCs w:val="21"/>
          <w:lang w:eastAsia="zh-CN"/>
        </w:rPr>
        <w:t>）</w:t>
      </w:r>
      <w:r>
        <w:rPr>
          <w:rFonts w:hint="eastAsia" w:asciiTheme="minorEastAsia" w:hAnsiTheme="minorEastAsia" w:eastAsiaTheme="minorEastAsia" w:cstheme="minorEastAsia"/>
          <w:bCs/>
          <w:color w:val="auto"/>
          <w:sz w:val="21"/>
          <w:szCs w:val="21"/>
          <w:lang w:val="en-US"/>
        </w:rPr>
        <w:t>递交</w:t>
      </w:r>
      <w:r>
        <w:rPr>
          <w:rFonts w:hint="eastAsia" w:asciiTheme="minorEastAsia" w:hAnsiTheme="minorEastAsia" w:eastAsiaTheme="minorEastAsia" w:cstheme="minorEastAsia"/>
          <w:bCs/>
          <w:color w:val="auto"/>
          <w:sz w:val="21"/>
          <w:szCs w:val="21"/>
          <w:lang w:val="en-US" w:eastAsia="zh-CN"/>
        </w:rPr>
        <w:t>响应文件</w:t>
      </w:r>
      <w:r>
        <w:rPr>
          <w:rFonts w:hint="eastAsia" w:asciiTheme="minorEastAsia" w:hAnsiTheme="minorEastAsia" w:eastAsiaTheme="minorEastAsia" w:cstheme="minorEastAsia"/>
          <w:bCs/>
          <w:color w:val="auto"/>
          <w:sz w:val="21"/>
          <w:szCs w:val="21"/>
          <w:lang w:val="en-US"/>
        </w:rPr>
        <w:t>时间：</w:t>
      </w:r>
      <w:r>
        <w:rPr>
          <w:rFonts w:hint="eastAsia" w:asciiTheme="minorEastAsia" w:hAnsiTheme="minorEastAsia" w:eastAsiaTheme="minorEastAsia" w:cstheme="minorEastAsia"/>
          <w:bCs/>
          <w:color w:val="auto"/>
          <w:sz w:val="21"/>
          <w:szCs w:val="21"/>
          <w:u w:val="single"/>
          <w:lang w:val="en-US" w:eastAsia="zh-CN"/>
        </w:rPr>
        <w:t>2025</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rPr>
        <w:t>3</w:t>
      </w:r>
      <w:r>
        <w:rPr>
          <w:rFonts w:hint="eastAsia" w:asciiTheme="minorEastAsia" w:hAnsiTheme="minorEastAsia" w:eastAsiaTheme="minorEastAsia" w:cstheme="minorEastAsia"/>
          <w:bCs/>
          <w:color w:val="auto"/>
          <w:sz w:val="21"/>
          <w:szCs w:val="21"/>
          <w:lang w:val="en-US" w:eastAsia="zh-CN"/>
        </w:rPr>
        <w:t>月</w:t>
      </w:r>
      <w:r>
        <w:rPr>
          <w:rFonts w:hint="eastAsia" w:asciiTheme="minorEastAsia" w:hAnsiTheme="minorEastAsia" w:eastAsiaTheme="minorEastAsia" w:cstheme="minorEastAsia"/>
          <w:bCs/>
          <w:color w:val="auto"/>
          <w:sz w:val="21"/>
          <w:szCs w:val="21"/>
          <w:u w:val="single"/>
          <w:lang w:val="en-US" w:eastAsia="zh-CN"/>
        </w:rPr>
        <w:t>14</w:t>
      </w:r>
      <w:r>
        <w:rPr>
          <w:rFonts w:hint="eastAsia" w:asciiTheme="minorEastAsia" w:hAnsiTheme="minorEastAsia" w:eastAsiaTheme="minorEastAsia" w:cstheme="minorEastAsia"/>
          <w:bCs/>
          <w:color w:val="auto"/>
          <w:sz w:val="21"/>
          <w:szCs w:val="21"/>
          <w:lang w:val="en-US" w:eastAsia="zh-CN"/>
        </w:rPr>
        <w:t>日</w:t>
      </w:r>
      <w:r>
        <w:rPr>
          <w:rFonts w:hint="eastAsia" w:asciiTheme="minorEastAsia" w:hAnsiTheme="minorEastAsia" w:eastAsiaTheme="minorEastAsia" w:cstheme="minorEastAsia"/>
          <w:bCs/>
          <w:color w:val="auto"/>
          <w:sz w:val="21"/>
          <w:szCs w:val="21"/>
          <w:u w:val="single"/>
          <w:lang w:val="en-US" w:eastAsia="zh-CN"/>
        </w:rPr>
        <w:t>9</w:t>
      </w:r>
      <w:r>
        <w:rPr>
          <w:rFonts w:hint="eastAsia" w:asciiTheme="minorEastAsia" w:hAnsiTheme="minorEastAsia" w:eastAsiaTheme="minorEastAsia" w:cstheme="minorEastAsia"/>
          <w:bCs/>
          <w:color w:val="auto"/>
          <w:sz w:val="21"/>
          <w:szCs w:val="21"/>
          <w:lang w:val="en-US"/>
        </w:rPr>
        <w:t>时</w:t>
      </w:r>
      <w:r>
        <w:rPr>
          <w:rFonts w:hint="eastAsia" w:asciiTheme="minorEastAsia" w:hAnsiTheme="minorEastAsia" w:eastAsiaTheme="minorEastAsia" w:cstheme="minorEastAsia"/>
          <w:bCs/>
          <w:color w:val="auto"/>
          <w:sz w:val="21"/>
          <w:szCs w:val="21"/>
          <w:u w:val="single"/>
          <w:lang w:val="en-US" w:eastAsia="zh-CN"/>
        </w:rPr>
        <w:t>00</w:t>
      </w:r>
      <w:r>
        <w:rPr>
          <w:rFonts w:hint="eastAsia" w:asciiTheme="minorEastAsia" w:hAnsiTheme="minorEastAsia" w:eastAsiaTheme="minorEastAsia" w:cstheme="minorEastAsia"/>
          <w:bCs/>
          <w:color w:val="auto"/>
          <w:sz w:val="21"/>
          <w:szCs w:val="21"/>
          <w:lang w:val="en-US"/>
        </w:rPr>
        <w:t>分</w:t>
      </w:r>
      <w:r>
        <w:rPr>
          <w:rFonts w:hint="eastAsia" w:asciiTheme="minorEastAsia" w:hAnsiTheme="minorEastAsia" w:eastAsiaTheme="minorEastAsia" w:cstheme="minorEastAsia"/>
          <w:bCs/>
          <w:color w:val="auto"/>
          <w:sz w:val="21"/>
          <w:szCs w:val="21"/>
          <w:lang w:val="en-US" w:eastAsia="zh-CN"/>
        </w:rPr>
        <w:t>至</w:t>
      </w:r>
      <w:r>
        <w:rPr>
          <w:rFonts w:hint="eastAsia" w:asciiTheme="minorEastAsia" w:hAnsiTheme="minorEastAsia" w:eastAsiaTheme="minorEastAsia" w:cstheme="minorEastAsia"/>
          <w:bCs/>
          <w:color w:val="auto"/>
          <w:sz w:val="21"/>
          <w:szCs w:val="21"/>
          <w:u w:val="single"/>
          <w:lang w:val="en-US" w:eastAsia="zh-CN"/>
        </w:rPr>
        <w:t>9</w:t>
      </w:r>
      <w:r>
        <w:rPr>
          <w:rFonts w:hint="eastAsia" w:asciiTheme="minorEastAsia" w:hAnsiTheme="minorEastAsia" w:eastAsiaTheme="minorEastAsia" w:cstheme="minorEastAsia"/>
          <w:bCs/>
          <w:color w:val="auto"/>
          <w:sz w:val="21"/>
          <w:szCs w:val="21"/>
          <w:lang w:val="en-US"/>
        </w:rPr>
        <w:t>时</w:t>
      </w:r>
      <w:r>
        <w:rPr>
          <w:rFonts w:hint="eastAsia" w:asciiTheme="minorEastAsia" w:hAnsiTheme="minorEastAsia" w:eastAsiaTheme="minorEastAsia" w:cstheme="minorEastAsia"/>
          <w:bCs/>
          <w:color w:val="auto"/>
          <w:sz w:val="21"/>
          <w:szCs w:val="21"/>
          <w:u w:val="single"/>
          <w:lang w:val="en-US" w:eastAsia="zh-CN"/>
        </w:rPr>
        <w:t>30</w:t>
      </w:r>
      <w:r>
        <w:rPr>
          <w:rFonts w:hint="eastAsia" w:asciiTheme="minorEastAsia" w:hAnsiTheme="minorEastAsia" w:eastAsiaTheme="minorEastAsia" w:cstheme="minorEastAsia"/>
          <w:bCs/>
          <w:color w:val="auto"/>
          <w:sz w:val="21"/>
          <w:szCs w:val="21"/>
          <w:lang w:val="en-US"/>
        </w:rPr>
        <w:t>分（北京时间）。</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400" w:lineRule="exact"/>
        <w:ind w:left="0" w:leftChars="0" w:firstLine="432" w:firstLineChars="206"/>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eastAsia="zh-CN"/>
        </w:rPr>
        <w:t>（二）</w:t>
      </w:r>
      <w:r>
        <w:rPr>
          <w:rFonts w:hint="eastAsia" w:asciiTheme="minorEastAsia" w:hAnsiTheme="minorEastAsia" w:eastAsiaTheme="minorEastAsia" w:cstheme="minorEastAsia"/>
          <w:bCs/>
          <w:color w:val="auto"/>
          <w:sz w:val="21"/>
          <w:szCs w:val="21"/>
          <w:lang w:val="en-US"/>
        </w:rPr>
        <w:t>递交</w:t>
      </w:r>
      <w:r>
        <w:rPr>
          <w:rFonts w:hint="eastAsia" w:asciiTheme="minorEastAsia" w:hAnsiTheme="minorEastAsia" w:eastAsiaTheme="minorEastAsia" w:cstheme="minorEastAsia"/>
          <w:bCs/>
          <w:color w:val="auto"/>
          <w:sz w:val="21"/>
          <w:szCs w:val="21"/>
          <w:lang w:val="en-US" w:eastAsia="zh-CN"/>
        </w:rPr>
        <w:t>响应文件</w:t>
      </w:r>
      <w:r>
        <w:rPr>
          <w:rFonts w:hint="eastAsia" w:asciiTheme="minorEastAsia" w:hAnsiTheme="minorEastAsia" w:eastAsiaTheme="minorEastAsia" w:cstheme="minorEastAsia"/>
          <w:bCs/>
          <w:color w:val="auto"/>
          <w:sz w:val="21"/>
          <w:szCs w:val="21"/>
          <w:lang w:val="en-US"/>
        </w:rPr>
        <w:t>截止时间：</w:t>
      </w:r>
      <w:r>
        <w:rPr>
          <w:rFonts w:hint="eastAsia" w:asciiTheme="minorEastAsia" w:hAnsiTheme="minorEastAsia" w:eastAsiaTheme="minorEastAsia" w:cstheme="minorEastAsia"/>
          <w:bCs/>
          <w:color w:val="auto"/>
          <w:sz w:val="21"/>
          <w:szCs w:val="21"/>
          <w:u w:val="single"/>
          <w:lang w:val="en-US" w:eastAsia="zh-CN" w:bidi="ar-SA"/>
        </w:rPr>
        <w:t>2025</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rPr>
        <w:t>3</w:t>
      </w:r>
      <w:r>
        <w:rPr>
          <w:rFonts w:hint="eastAsia" w:asciiTheme="minorEastAsia" w:hAnsiTheme="minorEastAsia" w:eastAsiaTheme="minorEastAsia" w:cstheme="minorEastAsia"/>
          <w:bCs/>
          <w:color w:val="auto"/>
          <w:sz w:val="21"/>
          <w:szCs w:val="21"/>
          <w:lang w:val="en-US" w:eastAsia="zh-CN"/>
        </w:rPr>
        <w:t>月</w:t>
      </w:r>
      <w:r>
        <w:rPr>
          <w:rFonts w:hint="eastAsia" w:asciiTheme="minorEastAsia" w:hAnsiTheme="minorEastAsia" w:eastAsiaTheme="minorEastAsia" w:cstheme="minorEastAsia"/>
          <w:bCs/>
          <w:color w:val="auto"/>
          <w:sz w:val="21"/>
          <w:szCs w:val="21"/>
          <w:u w:val="single"/>
          <w:lang w:val="en-US" w:eastAsia="zh-CN"/>
        </w:rPr>
        <w:t>14</w:t>
      </w:r>
      <w:r>
        <w:rPr>
          <w:rFonts w:hint="eastAsia" w:asciiTheme="minorEastAsia" w:hAnsiTheme="minorEastAsia" w:eastAsiaTheme="minorEastAsia" w:cstheme="minorEastAsia"/>
          <w:bCs/>
          <w:color w:val="auto"/>
          <w:sz w:val="21"/>
          <w:szCs w:val="21"/>
          <w:lang w:val="en-US" w:eastAsia="zh-CN"/>
        </w:rPr>
        <w:t>日</w:t>
      </w:r>
      <w:r>
        <w:rPr>
          <w:rFonts w:hint="eastAsia" w:asciiTheme="minorEastAsia" w:hAnsiTheme="minorEastAsia" w:eastAsiaTheme="minorEastAsia" w:cstheme="minorEastAsia"/>
          <w:bCs/>
          <w:color w:val="auto"/>
          <w:sz w:val="21"/>
          <w:szCs w:val="21"/>
          <w:u w:val="single"/>
          <w:lang w:val="en-US" w:eastAsia="zh-CN" w:bidi="ar-SA"/>
        </w:rPr>
        <w:t>9</w:t>
      </w:r>
      <w:r>
        <w:rPr>
          <w:rFonts w:hint="eastAsia" w:asciiTheme="minorEastAsia" w:hAnsiTheme="minorEastAsia" w:eastAsiaTheme="minorEastAsia" w:cstheme="minorEastAsia"/>
          <w:bCs/>
          <w:color w:val="auto"/>
          <w:sz w:val="21"/>
          <w:szCs w:val="21"/>
          <w:lang w:val="en-US"/>
        </w:rPr>
        <w:t>时</w:t>
      </w:r>
      <w:r>
        <w:rPr>
          <w:rFonts w:hint="eastAsia" w:asciiTheme="minorEastAsia" w:hAnsiTheme="minorEastAsia" w:eastAsiaTheme="minorEastAsia" w:cstheme="minorEastAsia"/>
          <w:bCs/>
          <w:color w:val="auto"/>
          <w:sz w:val="21"/>
          <w:szCs w:val="21"/>
          <w:u w:val="single"/>
          <w:lang w:val="en-US" w:eastAsia="zh-CN" w:bidi="ar-SA"/>
        </w:rPr>
        <w:t>30</w:t>
      </w:r>
      <w:r>
        <w:rPr>
          <w:rFonts w:hint="eastAsia" w:asciiTheme="minorEastAsia" w:hAnsiTheme="minorEastAsia" w:eastAsiaTheme="minorEastAsia" w:cstheme="minorEastAsia"/>
          <w:bCs/>
          <w:color w:val="auto"/>
          <w:sz w:val="21"/>
          <w:szCs w:val="21"/>
          <w:lang w:val="en-US"/>
        </w:rPr>
        <w:t>分（北京时间），逾期概不受理。</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400" w:lineRule="exact"/>
        <w:ind w:left="0" w:leftChars="0" w:firstLine="432" w:firstLineChars="206"/>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eastAsia="zh-CN"/>
        </w:rPr>
        <w:t>（三）</w:t>
      </w:r>
      <w:r>
        <w:rPr>
          <w:rFonts w:hint="eastAsia" w:asciiTheme="minorEastAsia" w:hAnsiTheme="minorEastAsia" w:eastAsiaTheme="minorEastAsia" w:cstheme="minorEastAsia"/>
          <w:bCs/>
          <w:color w:val="auto"/>
          <w:sz w:val="21"/>
          <w:szCs w:val="21"/>
          <w:lang w:val="en-US"/>
        </w:rPr>
        <w:t>递交</w:t>
      </w:r>
      <w:r>
        <w:rPr>
          <w:rFonts w:hint="eastAsia" w:asciiTheme="minorEastAsia" w:hAnsiTheme="minorEastAsia" w:eastAsiaTheme="minorEastAsia" w:cstheme="minorEastAsia"/>
          <w:bCs/>
          <w:color w:val="auto"/>
          <w:sz w:val="21"/>
          <w:szCs w:val="21"/>
          <w:lang w:val="en-US" w:eastAsia="zh-CN"/>
        </w:rPr>
        <w:t>响应文件</w:t>
      </w:r>
      <w:r>
        <w:rPr>
          <w:rFonts w:hint="eastAsia" w:asciiTheme="minorEastAsia" w:hAnsiTheme="minorEastAsia" w:eastAsiaTheme="minorEastAsia" w:cstheme="minorEastAsia"/>
          <w:bCs/>
          <w:color w:val="auto"/>
          <w:sz w:val="21"/>
          <w:szCs w:val="21"/>
          <w:lang w:val="en-US"/>
        </w:rPr>
        <w:t>地点：</w:t>
      </w:r>
      <w:r>
        <w:rPr>
          <w:rFonts w:hint="eastAsia" w:asciiTheme="minorEastAsia" w:hAnsiTheme="minorEastAsia" w:eastAsiaTheme="minorEastAsia" w:cstheme="minorEastAsia"/>
          <w:bCs/>
          <w:color w:val="auto"/>
          <w:sz w:val="21"/>
          <w:szCs w:val="21"/>
          <w:lang w:val="en-US" w:eastAsia="zh-CN"/>
        </w:rPr>
        <w:t>广东省河源监狱行政楼七楼会议室</w:t>
      </w:r>
      <w:r>
        <w:rPr>
          <w:rFonts w:hint="eastAsia" w:asciiTheme="minorEastAsia" w:hAnsiTheme="minorEastAsia" w:eastAsiaTheme="minorEastAsia" w:cstheme="minorEastAsia"/>
          <w:sz w:val="21"/>
          <w:szCs w:val="21"/>
          <w:lang w:eastAsia="zh-CN"/>
        </w:rPr>
        <w:t>。</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400" w:lineRule="exact"/>
        <w:ind w:left="0" w:leftChars="0" w:firstLine="432" w:firstLineChars="206"/>
        <w:textAlignment w:val="auto"/>
        <w:rPr>
          <w:rFonts w:hint="eastAsia" w:asciiTheme="minorEastAsia" w:hAnsiTheme="minorEastAsia" w:eastAsiaTheme="minorEastAsia" w:cstheme="minorEastAsia"/>
          <w:bCs/>
          <w:color w:val="FF0000"/>
          <w:sz w:val="21"/>
          <w:szCs w:val="21"/>
          <w:lang w:val="en-US"/>
        </w:rPr>
      </w:pPr>
      <w:r>
        <w:rPr>
          <w:rFonts w:hint="eastAsia" w:asciiTheme="minorEastAsia" w:hAnsiTheme="minorEastAsia" w:eastAsiaTheme="minorEastAsia" w:cstheme="minorEastAsia"/>
          <w:bCs/>
          <w:color w:val="auto"/>
          <w:sz w:val="21"/>
          <w:szCs w:val="21"/>
          <w:lang w:val="en-US" w:eastAsia="zh-CN"/>
        </w:rPr>
        <w:t>（四）议价</w:t>
      </w:r>
      <w:r>
        <w:rPr>
          <w:rFonts w:hint="eastAsia" w:asciiTheme="minorEastAsia" w:hAnsiTheme="minorEastAsia" w:eastAsiaTheme="minorEastAsia" w:cstheme="minorEastAsia"/>
          <w:bCs/>
          <w:color w:val="auto"/>
          <w:sz w:val="21"/>
          <w:szCs w:val="21"/>
          <w:lang w:val="en-US"/>
        </w:rPr>
        <w:t>时间：</w:t>
      </w:r>
      <w:r>
        <w:rPr>
          <w:rFonts w:hint="eastAsia" w:asciiTheme="minorEastAsia" w:hAnsiTheme="minorEastAsia" w:eastAsiaTheme="minorEastAsia" w:cstheme="minorEastAsia"/>
          <w:bCs/>
          <w:color w:val="auto"/>
          <w:sz w:val="21"/>
          <w:szCs w:val="21"/>
          <w:u w:val="single"/>
          <w:lang w:val="en-US" w:eastAsia="zh-CN" w:bidi="ar-SA"/>
        </w:rPr>
        <w:t>2025</w:t>
      </w:r>
      <w:r>
        <w:rPr>
          <w:rFonts w:hint="eastAsia" w:asciiTheme="minorEastAsia" w:hAnsiTheme="minorEastAsia" w:eastAsiaTheme="minorEastAsia" w:cstheme="minorEastAsia"/>
          <w:bCs/>
          <w:color w:val="auto"/>
          <w:sz w:val="21"/>
          <w:szCs w:val="21"/>
          <w:lang w:val="en-US" w:eastAsia="zh-CN"/>
        </w:rPr>
        <w:t>年</w:t>
      </w:r>
      <w:r>
        <w:rPr>
          <w:rFonts w:hint="eastAsia" w:asciiTheme="minorEastAsia" w:hAnsiTheme="minorEastAsia" w:eastAsiaTheme="minorEastAsia" w:cstheme="minorEastAsia"/>
          <w:bCs/>
          <w:color w:val="auto"/>
          <w:sz w:val="21"/>
          <w:szCs w:val="21"/>
          <w:u w:val="single"/>
          <w:lang w:val="en-US" w:eastAsia="zh-CN"/>
        </w:rPr>
        <w:t>3</w:t>
      </w:r>
      <w:r>
        <w:rPr>
          <w:rFonts w:hint="eastAsia" w:asciiTheme="minorEastAsia" w:hAnsiTheme="minorEastAsia" w:eastAsiaTheme="minorEastAsia" w:cstheme="minorEastAsia"/>
          <w:bCs/>
          <w:color w:val="auto"/>
          <w:sz w:val="21"/>
          <w:szCs w:val="21"/>
          <w:lang w:val="en-US" w:eastAsia="zh-CN"/>
        </w:rPr>
        <w:t>月</w:t>
      </w:r>
      <w:r>
        <w:rPr>
          <w:rFonts w:hint="eastAsia" w:asciiTheme="minorEastAsia" w:hAnsiTheme="minorEastAsia" w:eastAsiaTheme="minorEastAsia" w:cstheme="minorEastAsia"/>
          <w:bCs/>
          <w:color w:val="auto"/>
          <w:sz w:val="21"/>
          <w:szCs w:val="21"/>
          <w:u w:val="single"/>
          <w:lang w:val="en-US" w:eastAsia="zh-CN"/>
        </w:rPr>
        <w:t>14</w:t>
      </w:r>
      <w:r>
        <w:rPr>
          <w:rFonts w:hint="eastAsia" w:asciiTheme="minorEastAsia" w:hAnsiTheme="minorEastAsia" w:eastAsiaTheme="minorEastAsia" w:cstheme="minorEastAsia"/>
          <w:bCs/>
          <w:color w:val="auto"/>
          <w:sz w:val="21"/>
          <w:szCs w:val="21"/>
          <w:lang w:val="en-US" w:eastAsia="zh-CN"/>
        </w:rPr>
        <w:t>日</w:t>
      </w:r>
      <w:r>
        <w:rPr>
          <w:rFonts w:hint="eastAsia" w:asciiTheme="minorEastAsia" w:hAnsiTheme="minorEastAsia" w:eastAsiaTheme="minorEastAsia" w:cstheme="minorEastAsia"/>
          <w:bCs/>
          <w:color w:val="auto"/>
          <w:sz w:val="21"/>
          <w:szCs w:val="21"/>
          <w:u w:val="single"/>
          <w:lang w:val="en-US" w:eastAsia="zh-CN" w:bidi="ar-SA"/>
        </w:rPr>
        <w:t>10</w:t>
      </w:r>
      <w:r>
        <w:rPr>
          <w:rFonts w:hint="eastAsia" w:asciiTheme="minorEastAsia" w:hAnsiTheme="minorEastAsia" w:eastAsiaTheme="minorEastAsia" w:cstheme="minorEastAsia"/>
          <w:bCs/>
          <w:color w:val="auto"/>
          <w:sz w:val="21"/>
          <w:szCs w:val="21"/>
          <w:lang w:val="en-US"/>
        </w:rPr>
        <w:t>时</w:t>
      </w:r>
      <w:r>
        <w:rPr>
          <w:rFonts w:hint="eastAsia" w:asciiTheme="minorEastAsia" w:hAnsiTheme="minorEastAsia" w:eastAsiaTheme="minorEastAsia" w:cstheme="minorEastAsia"/>
          <w:bCs/>
          <w:color w:val="auto"/>
          <w:sz w:val="21"/>
          <w:szCs w:val="21"/>
          <w:u w:val="single"/>
          <w:lang w:val="en-US" w:eastAsia="zh-CN" w:bidi="ar-SA"/>
        </w:rPr>
        <w:t>00</w:t>
      </w:r>
      <w:r>
        <w:rPr>
          <w:rFonts w:hint="eastAsia" w:asciiTheme="minorEastAsia" w:hAnsiTheme="minorEastAsia" w:eastAsiaTheme="minorEastAsia" w:cstheme="minorEastAsia"/>
          <w:bCs/>
          <w:color w:val="auto"/>
          <w:sz w:val="21"/>
          <w:szCs w:val="21"/>
          <w:lang w:val="en-US"/>
        </w:rPr>
        <w:t>分（北京时间）。</w:t>
      </w:r>
    </w:p>
    <w:p>
      <w:pPr>
        <w:keepNext w:val="0"/>
        <w:keepLines w:val="0"/>
        <w:pageBreakBefore w:val="0"/>
        <w:widowControl w:val="0"/>
        <w:numPr>
          <w:ilvl w:val="0"/>
          <w:numId w:val="0"/>
        </w:numPr>
        <w:tabs>
          <w:tab w:val="left" w:pos="142"/>
          <w:tab w:val="left" w:pos="425"/>
        </w:tabs>
        <w:kinsoku/>
        <w:wordWrap/>
        <w:overflowPunct/>
        <w:topLinePunct w:val="0"/>
        <w:bidi w:val="0"/>
        <w:adjustRightInd w:val="0"/>
        <w:snapToGrid w:val="0"/>
        <w:spacing w:line="400" w:lineRule="exact"/>
        <w:ind w:left="0" w:leftChars="0" w:firstLine="432" w:firstLineChars="206"/>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eastAsia="zh-CN"/>
        </w:rPr>
        <w:t>（五）议价</w:t>
      </w:r>
      <w:r>
        <w:rPr>
          <w:rFonts w:hint="eastAsia" w:asciiTheme="minorEastAsia" w:hAnsiTheme="minorEastAsia" w:eastAsiaTheme="minorEastAsia" w:cstheme="minorEastAsia"/>
          <w:bCs/>
          <w:color w:val="auto"/>
          <w:sz w:val="21"/>
          <w:szCs w:val="21"/>
          <w:lang w:val="en-US"/>
        </w:rPr>
        <w:t>地点：</w:t>
      </w:r>
      <w:r>
        <w:rPr>
          <w:rFonts w:hint="eastAsia" w:asciiTheme="minorEastAsia" w:hAnsiTheme="minorEastAsia" w:eastAsiaTheme="minorEastAsia" w:cstheme="minorEastAsia"/>
          <w:bCs/>
          <w:color w:val="auto"/>
          <w:sz w:val="21"/>
          <w:szCs w:val="21"/>
          <w:lang w:val="en-US" w:eastAsia="zh-CN"/>
        </w:rPr>
        <w:t>广东省河源监狱行政楼七楼会议室</w:t>
      </w:r>
      <w:r>
        <w:rPr>
          <w:rFonts w:hint="eastAsia" w:asciiTheme="minorEastAsia" w:hAnsiTheme="minorEastAsia" w:eastAsiaTheme="minorEastAsia" w:cstheme="minorEastAsia"/>
          <w:bCs/>
          <w:color w:val="auto"/>
          <w:sz w:val="21"/>
          <w:szCs w:val="21"/>
          <w:lang w:val="en-US"/>
        </w:rPr>
        <w:t>。</w:t>
      </w:r>
    </w:p>
    <w:p>
      <w:pPr>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六、公告期限</w:t>
      </w:r>
    </w:p>
    <w:p>
      <w:pPr>
        <w:keepNext w:val="0"/>
        <w:keepLines w:val="0"/>
        <w:pageBreakBefore w:val="0"/>
        <w:widowControl w:val="0"/>
        <w:tabs>
          <w:tab w:val="left" w:pos="142"/>
          <w:tab w:val="left" w:pos="425"/>
        </w:tabs>
        <w:kinsoku/>
        <w:wordWrap/>
        <w:overflowPunct/>
        <w:topLinePunct w:val="0"/>
        <w:bidi w:val="0"/>
        <w:adjustRightInd w:val="0"/>
        <w:snapToGrid w:val="0"/>
        <w:spacing w:line="400" w:lineRule="exact"/>
        <w:ind w:left="0" w:leftChars="0" w:firstLine="384" w:firstLineChars="183"/>
        <w:textAlignment w:val="auto"/>
        <w:rPr>
          <w:rFonts w:hint="eastAsia" w:asciiTheme="minorEastAsia" w:hAnsiTheme="minorEastAsia" w:eastAsiaTheme="minorEastAsia" w:cstheme="minorEastAsia"/>
          <w:bCs/>
          <w:color w:val="auto"/>
          <w:sz w:val="21"/>
          <w:szCs w:val="21"/>
          <w:lang w:val="en-US"/>
        </w:rPr>
      </w:pPr>
      <w:r>
        <w:rPr>
          <w:rFonts w:hint="eastAsia" w:asciiTheme="minorEastAsia" w:hAnsiTheme="minorEastAsia" w:eastAsiaTheme="minorEastAsia" w:cstheme="minorEastAsia"/>
          <w:bCs/>
          <w:color w:val="auto"/>
          <w:sz w:val="21"/>
          <w:szCs w:val="21"/>
          <w:lang w:val="en-US"/>
        </w:rPr>
        <w:t>本公告期限</w:t>
      </w:r>
      <w:r>
        <w:rPr>
          <w:rFonts w:hint="eastAsia" w:asciiTheme="minorEastAsia" w:hAnsiTheme="minorEastAsia" w:eastAsiaTheme="minorEastAsia" w:cstheme="minorEastAsia"/>
          <w:bCs/>
          <w:color w:val="auto"/>
          <w:sz w:val="21"/>
          <w:szCs w:val="21"/>
          <w:lang w:val="en-US" w:eastAsia="zh-CN"/>
        </w:rPr>
        <w:t>自发布之日起不少于3</w:t>
      </w:r>
      <w:r>
        <w:rPr>
          <w:rFonts w:hint="eastAsia" w:asciiTheme="minorEastAsia" w:hAnsiTheme="minorEastAsia" w:eastAsiaTheme="minorEastAsia" w:cstheme="minorEastAsia"/>
          <w:bCs/>
          <w:color w:val="auto"/>
          <w:sz w:val="21"/>
          <w:szCs w:val="21"/>
          <w:lang w:val="en-US"/>
        </w:rPr>
        <w:t>个工作日。</w:t>
      </w:r>
    </w:p>
    <w:bookmarkEnd w:id="1"/>
    <w:p>
      <w:pPr>
        <w:keepNext w:val="0"/>
        <w:keepLines w:val="0"/>
        <w:pageBreakBefore w:val="0"/>
        <w:widowControl w:val="0"/>
        <w:numPr>
          <w:ilvl w:val="0"/>
          <w:numId w:val="0"/>
        </w:numPr>
        <w:kinsoku/>
        <w:wordWrap/>
        <w:overflowPunct/>
        <w:topLinePunct w:val="0"/>
        <w:autoSpaceDE/>
        <w:autoSpaceDN/>
        <w:bidi w:val="0"/>
        <w:adjustRightInd/>
        <w:spacing w:line="400" w:lineRule="exact"/>
        <w:ind w:right="0" w:rightChars="0" w:firstLine="482" w:firstLineChars="200"/>
        <w:jc w:val="left"/>
        <w:textAlignment w:val="auto"/>
        <w:outlineLvl w:val="9"/>
        <w:rPr>
          <w:rFonts w:hint="eastAsia" w:asciiTheme="minorEastAsia" w:hAnsiTheme="minorEastAsia" w:eastAsiaTheme="minorEastAsia" w:cstheme="minorEastAsia"/>
          <w:b/>
          <w:bCs w:val="0"/>
          <w:color w:val="auto"/>
          <w:sz w:val="24"/>
          <w:szCs w:val="24"/>
          <w:lang w:val="en-US" w:eastAsia="zh-CN"/>
        </w:rPr>
      </w:pPr>
      <w:bookmarkStart w:id="3" w:name="_Toc7515"/>
      <w:r>
        <w:rPr>
          <w:rFonts w:hint="eastAsia" w:asciiTheme="minorEastAsia" w:hAnsiTheme="minorEastAsia" w:eastAsiaTheme="minorEastAsia" w:cstheme="minorEastAsia"/>
          <w:b/>
          <w:bCs w:val="0"/>
          <w:color w:val="auto"/>
          <w:sz w:val="24"/>
          <w:szCs w:val="24"/>
          <w:lang w:val="en-US" w:eastAsia="zh-CN"/>
        </w:rPr>
        <w:t>七、采购人名称、地址和联系方式</w:t>
      </w:r>
      <w:bookmarkEnd w:id="3"/>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400" w:lineRule="exact"/>
        <w:ind w:right="0" w:rightChars="0" w:firstLine="420" w:firstLineChars="200"/>
        <w:textAlignment w:val="auto"/>
        <w:outlineLvl w:val="9"/>
        <w:rPr>
          <w:rFonts w:hint="eastAsia"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cs="宋体"/>
          <w:color w:val="auto"/>
          <w:sz w:val="21"/>
          <w:szCs w:val="21"/>
          <w:highlight w:val="none"/>
          <w:lang w:eastAsia="zh-CN"/>
        </w:rPr>
        <w:t>广东省河源监狱</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400" w:lineRule="exact"/>
        <w:ind w:right="0" w:rightChars="0"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cs="宋体"/>
          <w:color w:val="auto"/>
          <w:sz w:val="21"/>
          <w:szCs w:val="21"/>
          <w:highlight w:val="none"/>
          <w:lang w:eastAsia="zh-CN"/>
        </w:rPr>
        <w:t>广东省河源市源城区东环路南2号</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400" w:lineRule="exact"/>
        <w:ind w:firstLine="420"/>
        <w:textAlignment w:val="auto"/>
        <w:outlineLvl w:val="9"/>
        <w:rPr>
          <w:rFonts w:hint="eastAsia"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cs="宋体"/>
          <w:color w:val="auto"/>
          <w:sz w:val="21"/>
          <w:szCs w:val="21"/>
          <w:highlight w:val="none"/>
          <w:lang w:eastAsia="zh-CN"/>
        </w:rPr>
        <w:t>何先生</w:t>
      </w:r>
    </w:p>
    <w:p>
      <w:pPr>
        <w:keepNext w:val="0"/>
        <w:keepLines w:val="0"/>
        <w:pageBreakBefore w:val="0"/>
        <w:widowControl w:val="0"/>
        <w:numPr>
          <w:ilvl w:val="0"/>
          <w:numId w:val="0"/>
        </w:numPr>
        <w:tabs>
          <w:tab w:val="left" w:pos="142"/>
          <w:tab w:val="left" w:pos="425"/>
        </w:tabs>
        <w:kinsoku/>
        <w:wordWrap/>
        <w:overflowPunct/>
        <w:topLinePunct w:val="0"/>
        <w:autoSpaceDE w:val="0"/>
        <w:autoSpaceDN w:val="0"/>
        <w:bidi w:val="0"/>
        <w:adjustRightInd w:val="0"/>
        <w:snapToGrid w:val="0"/>
        <w:spacing w:line="400" w:lineRule="exact"/>
        <w:ind w:firstLine="420"/>
        <w:textAlignment w:val="auto"/>
        <w:outlineLvl w:val="9"/>
        <w:rPr>
          <w:rFonts w:hint="eastAsia" w:ascii="宋体" w:hAnsi="宋体" w:eastAsia="宋体" w:cs="宋体"/>
          <w:i w:val="0"/>
          <w:iCs w:val="0"/>
          <w:caps w:val="0"/>
          <w:color w:val="auto"/>
          <w:spacing w:val="0"/>
          <w:sz w:val="21"/>
          <w:szCs w:val="21"/>
          <w:highlight w:val="none"/>
          <w:shd w:val="clear" w:fill="auto"/>
        </w:rPr>
      </w:pPr>
      <w:r>
        <w:rPr>
          <w:rFonts w:hint="eastAsia" w:ascii="宋体" w:hAnsi="宋体" w:eastAsia="宋体" w:cs="宋体"/>
          <w:color w:val="auto"/>
          <w:sz w:val="21"/>
          <w:szCs w:val="21"/>
          <w:highlight w:val="none"/>
        </w:rPr>
        <w:t>联系电话：</w:t>
      </w:r>
      <w:r>
        <w:rPr>
          <w:rFonts w:hint="eastAsia" w:cs="宋体"/>
          <w:color w:val="auto"/>
          <w:sz w:val="21"/>
          <w:szCs w:val="21"/>
          <w:highlight w:val="none"/>
          <w:lang w:eastAsia="zh-CN"/>
        </w:rPr>
        <w:t>0762-3285</w:t>
      </w:r>
      <w:r>
        <w:rPr>
          <w:rFonts w:hint="eastAsia" w:cs="宋体"/>
          <w:color w:val="auto"/>
          <w:sz w:val="21"/>
          <w:szCs w:val="21"/>
          <w:highlight w:val="none"/>
          <w:lang w:val="en-US" w:eastAsia="zh-CN"/>
        </w:rPr>
        <w:t>788</w:t>
      </w:r>
      <w:r>
        <w:rPr>
          <w:rFonts w:hint="eastAsia" w:ascii="宋体" w:hAnsi="宋体" w:eastAsia="宋体" w:cs="宋体"/>
          <w:color w:val="auto"/>
          <w:sz w:val="21"/>
          <w:szCs w:val="21"/>
          <w:highlight w:val="none"/>
          <w:lang w:val="en-US"/>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邮编：</w:t>
      </w:r>
      <w:r>
        <w:rPr>
          <w:rFonts w:hint="eastAsia" w:ascii="宋体" w:hAnsi="宋体" w:eastAsia="宋体" w:cs="宋体"/>
          <w:i w:val="0"/>
          <w:iCs w:val="0"/>
          <w:caps w:val="0"/>
          <w:color w:val="auto"/>
          <w:spacing w:val="0"/>
          <w:sz w:val="21"/>
          <w:szCs w:val="21"/>
          <w:highlight w:val="none"/>
          <w:shd w:val="clear" w:fill="auto"/>
        </w:rPr>
        <w:t>517399</w:t>
      </w:r>
    </w:p>
    <w:p>
      <w:pPr>
        <w:pStyle w:val="10"/>
        <w:rPr>
          <w:rFonts w:hint="eastAsia"/>
        </w:rPr>
      </w:pPr>
    </w:p>
    <w:p>
      <w:pPr>
        <w:pStyle w:val="10"/>
        <w:rPr>
          <w:rFonts w:hint="eastAsia" w:ascii="宋体" w:hAnsi="宋体" w:eastAsia="宋体" w:cs="宋体"/>
          <w:sz w:val="21"/>
          <w:szCs w:val="21"/>
          <w:lang w:val="en-US"/>
        </w:rPr>
      </w:pPr>
    </w:p>
    <w:p>
      <w:pPr>
        <w:keepNext w:val="0"/>
        <w:keepLines w:val="0"/>
        <w:pageBreakBefore w:val="0"/>
        <w:widowControl w:val="0"/>
        <w:tabs>
          <w:tab w:val="left" w:pos="142"/>
        </w:tabs>
        <w:kinsoku/>
        <w:wordWrap/>
        <w:overflowPunct/>
        <w:topLinePunct w:val="0"/>
        <w:autoSpaceDE w:val="0"/>
        <w:autoSpaceDN w:val="0"/>
        <w:bidi w:val="0"/>
        <w:adjustRightInd w:val="0"/>
        <w:snapToGrid w:val="0"/>
        <w:spacing w:line="400" w:lineRule="exact"/>
        <w:ind w:left="0" w:leftChars="0" w:right="986" w:rightChars="448" w:firstLine="0" w:firstLineChars="0"/>
        <w:jc w:val="right"/>
        <w:textAlignment w:val="auto"/>
        <w:outlineLvl w:val="9"/>
        <w:rPr>
          <w:rFonts w:hint="default" w:ascii="宋体" w:hAnsi="宋体" w:eastAsia="宋体" w:cs="宋体"/>
          <w:sz w:val="21"/>
          <w:szCs w:val="21"/>
          <w:lang w:val="en-US" w:eastAsia="zh-CN"/>
        </w:rPr>
      </w:pPr>
      <w:r>
        <w:rPr>
          <w:rFonts w:hint="eastAsia" w:cs="宋体"/>
          <w:sz w:val="21"/>
          <w:szCs w:val="21"/>
          <w:lang w:val="en-US" w:eastAsia="zh-CN"/>
        </w:rPr>
        <w:t>广东省河源监狱</w:t>
      </w:r>
    </w:p>
    <w:p>
      <w:pPr>
        <w:keepNext w:val="0"/>
        <w:keepLines w:val="0"/>
        <w:pageBreakBefore w:val="0"/>
        <w:widowControl w:val="0"/>
        <w:kinsoku/>
        <w:wordWrap/>
        <w:overflowPunct/>
        <w:topLinePunct w:val="0"/>
        <w:bidi w:val="0"/>
        <w:adjustRightInd w:val="0"/>
        <w:snapToGrid w:val="0"/>
        <w:spacing w:line="400" w:lineRule="exact"/>
        <w:ind w:left="0" w:leftChars="0" w:right="986" w:rightChars="448" w:firstLine="0" w:firstLineChars="0"/>
        <w:jc w:val="right"/>
        <w:textAlignment w:val="auto"/>
        <w:rPr>
          <w:rFonts w:hint="eastAsia" w:ascii="宋体" w:hAnsi="宋体" w:eastAsia="宋体" w:cs="宋体"/>
          <w:sz w:val="21"/>
          <w:szCs w:val="21"/>
          <w:lang w:val="en-US"/>
        </w:rPr>
      </w:pPr>
      <w:r>
        <w:rPr>
          <w:rFonts w:hint="eastAsia" w:asciiTheme="minorEastAsia" w:hAnsiTheme="minorEastAsia" w:eastAsiaTheme="minorEastAsia" w:cstheme="minorEastAsia"/>
          <w:bCs/>
          <w:color w:val="auto"/>
          <w:sz w:val="21"/>
          <w:szCs w:val="21"/>
          <w:lang w:val="en-US" w:eastAsia="zh-CN"/>
        </w:rPr>
        <w:t>2025</w:t>
      </w:r>
      <w:r>
        <w:rPr>
          <w:rFonts w:hint="eastAsia" w:ascii="宋体" w:hAnsi="宋体" w:eastAsia="宋体" w:cs="宋体"/>
          <w:sz w:val="21"/>
          <w:szCs w:val="21"/>
          <w:lang w:val="en-US"/>
        </w:rPr>
        <w:t>年</w:t>
      </w:r>
      <w:r>
        <w:rPr>
          <w:rFonts w:hint="eastAsia" w:cs="宋体"/>
          <w:sz w:val="21"/>
          <w:szCs w:val="21"/>
          <w:lang w:val="en-US" w:eastAsia="zh-CN"/>
        </w:rPr>
        <w:t>3</w:t>
      </w:r>
      <w:r>
        <w:rPr>
          <w:rFonts w:hint="eastAsia" w:ascii="宋体" w:hAnsi="宋体" w:eastAsia="宋体" w:cs="宋体"/>
          <w:sz w:val="21"/>
          <w:szCs w:val="21"/>
          <w:lang w:val="en-US"/>
        </w:rPr>
        <w:t>月</w:t>
      </w:r>
      <w:r>
        <w:rPr>
          <w:rFonts w:hint="eastAsia" w:cs="宋体"/>
          <w:sz w:val="21"/>
          <w:szCs w:val="21"/>
          <w:lang w:val="en-US" w:eastAsia="zh-CN"/>
        </w:rPr>
        <w:t>10</w:t>
      </w:r>
      <w:bookmarkStart w:id="4" w:name="_GoBack"/>
      <w:bookmarkEnd w:id="4"/>
      <w:r>
        <w:rPr>
          <w:rFonts w:hint="eastAsia" w:ascii="宋体" w:hAnsi="宋体" w:eastAsia="宋体" w:cs="宋体"/>
          <w:sz w:val="21"/>
          <w:szCs w:val="21"/>
          <w:lang w:val="en-US"/>
        </w:rPr>
        <w:t>日</w:t>
      </w: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both"/>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广东省河源监狱划道路交通标志线等项目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sectPr>
      <w:pgSz w:w="11906" w:h="16838"/>
      <w:pgMar w:top="1701" w:right="1531"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079"/>
    <w:rsid w:val="00046079"/>
    <w:rsid w:val="13DC26EB"/>
    <w:rsid w:val="1B837834"/>
    <w:rsid w:val="26981218"/>
    <w:rsid w:val="296B25B2"/>
    <w:rsid w:val="2A4D4DDD"/>
    <w:rsid w:val="2A8C5B34"/>
    <w:rsid w:val="2BFD0A13"/>
    <w:rsid w:val="45EB1069"/>
    <w:rsid w:val="4F2531D6"/>
    <w:rsid w:val="5393086D"/>
    <w:rsid w:val="73397742"/>
    <w:rsid w:val="777D3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3">
    <w:name w:val="heading 2"/>
    <w:basedOn w:val="1"/>
    <w:next w:val="2"/>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semiHidden/>
    <w:qFormat/>
    <w:uiPriority w:val="0"/>
    <w:pPr>
      <w:ind w:firstLine="420" w:firstLineChars="200"/>
    </w:pPr>
    <w:rPr>
      <w:szCs w:val="21"/>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sz w:val="24"/>
      <w:lang w:val="en-US" w:bidi="ar-SA"/>
    </w:rPr>
  </w:style>
  <w:style w:type="character" w:styleId="8">
    <w:name w:val="page number"/>
    <w:basedOn w:val="7"/>
    <w:qFormat/>
    <w:uiPriority w:val="0"/>
  </w:style>
  <w:style w:type="paragraph" w:customStyle="1" w:styleId="10">
    <w:name w:val="_Style 3"/>
    <w:basedOn w:val="1"/>
    <w:qFormat/>
    <w:uiPriority w:val="0"/>
    <w:pPr>
      <w:widowControl/>
      <w:ind w:firstLine="420" w:firstLineChars="200"/>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3</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2025-02-14T06:14:00Z</dcterms:created>
  <dc:creator>何坤锋</dc:creator>
  <cp:lastModifiedBy>何坤锋</cp:lastModifiedBy>
  <dcterms:modified xsi:type="dcterms:W3CDTF">2025-03-05T06:37:59Z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