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2025007    </w:t>
      </w:r>
    </w:p>
    <w:p>
      <w:pPr>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cstheme="minorEastAsia"/>
          <w:sz w:val="32"/>
          <w:szCs w:val="32"/>
          <w:u w:val="single"/>
          <w:lang w:val="en-US" w:eastAsia="zh-CN"/>
        </w:rPr>
        <w:t>广东省河源监狱门禁设备采购项目</w:t>
      </w:r>
      <w:r>
        <w:rPr>
          <w:rFonts w:hint="eastAsia" w:asciiTheme="minorEastAsia" w:hAnsiTheme="minorEastAsia" w:eastAsiaTheme="minorEastAsia" w:cstheme="minorEastAsia"/>
          <w:sz w:val="32"/>
          <w:szCs w:val="32"/>
          <w:u w:val="single"/>
          <w:lang w:val="en-US" w:eastAsia="zh-CN"/>
        </w:rPr>
        <w:t xml:space="preserve">  </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3</w:t>
      </w:r>
      <w:bookmarkStart w:id="0" w:name="_GoBack"/>
      <w:bookmarkEnd w:id="0"/>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成交供应商若无正当理由恶意放弃成交资格</w:t>
      </w:r>
      <w:r>
        <w:rPr>
          <w:rFonts w:hint="eastAsia"/>
          <w:lang w:eastAsia="zh-CN"/>
        </w:rPr>
        <w:t>，</w:t>
      </w:r>
      <w:r>
        <w:rPr>
          <w:rFonts w:hint="eastAsia"/>
          <w:lang w:val="en-US" w:eastAsia="zh-CN"/>
        </w:rPr>
        <w:t>则该</w:t>
      </w:r>
      <w:r>
        <w:rPr>
          <w:rFonts w:hint="eastAsia"/>
        </w:rPr>
        <w:t>供应商连同该供应商同一法定代表人名下所有公司将被列入采购人黑名单，</w:t>
      </w:r>
      <w:r>
        <w:rPr>
          <w:rFonts w:hint="eastAsia"/>
          <w:lang w:val="en-US" w:eastAsia="zh-CN"/>
        </w:rPr>
        <w:t>从</w:t>
      </w:r>
      <w:r>
        <w:rPr>
          <w:rFonts w:hint="eastAsia"/>
        </w:rPr>
        <w:t>放弃成交资格</w:t>
      </w:r>
      <w:r>
        <w:rPr>
          <w:rFonts w:hint="eastAsia"/>
          <w:lang w:val="en-US" w:eastAsia="zh-CN"/>
        </w:rPr>
        <w:t>之日起</w:t>
      </w:r>
      <w:r>
        <w:rPr>
          <w:rFonts w:hint="eastAsia"/>
        </w:rPr>
        <w:t>1年内不得参与采购人的所有</w:t>
      </w:r>
      <w:r>
        <w:rPr>
          <w:rFonts w:hint="eastAsia"/>
          <w:lang w:val="en-US" w:eastAsia="zh-CN"/>
        </w:rPr>
        <w:t>采购</w:t>
      </w:r>
      <w:r>
        <w:rPr>
          <w:rFonts w:hint="eastAsia"/>
        </w:rPr>
        <w:t>项目</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九</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）竞价</w:t>
      </w:r>
      <w:r>
        <w:rPr>
          <w:rFonts w:hint="eastAsia"/>
        </w:rPr>
        <w:t>文件的澄清</w:t>
      </w:r>
      <w:r>
        <w:rPr>
          <w:rFonts w:hint="eastAsia"/>
          <w:lang w:eastAsia="zh-CN"/>
        </w:rPr>
        <w:t>：供应商</w:t>
      </w:r>
      <w:r>
        <w:rPr>
          <w:rFonts w:hint="eastAsia"/>
        </w:rPr>
        <w:t>对本</w:t>
      </w:r>
      <w:r>
        <w:rPr>
          <w:rFonts w:hint="eastAsia"/>
          <w:lang w:eastAsia="zh-CN"/>
        </w:rPr>
        <w:t>竞价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供应商应根据本公告要求，完整、真实、准确地填写相应报价附件，并对</w:t>
      </w:r>
      <w:r>
        <w:rPr>
          <w:rFonts w:hint="eastAsia"/>
          <w:lang w:eastAsia="zh-CN"/>
        </w:rPr>
        <w:t>竞价</w:t>
      </w:r>
      <w:r>
        <w:rPr>
          <w:rFonts w:hint="eastAsia"/>
        </w:rPr>
        <w:t>文件资料承担责任。</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（二）供应商应一式一份提交报价文件</w:t>
      </w:r>
      <w:r>
        <w:rPr>
          <w:rFonts w:hint="eastAsia"/>
        </w:rPr>
        <w:t>。</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一、项目概况</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采购人拟对部分管理区域采购安装可视对讲系统，同时对现有门锁进行改造，实现实时对讲通话及门禁控制。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二、预算金额</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人民币108464.8元。</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三、标的清单</w:t>
      </w:r>
    </w:p>
    <w:tbl>
      <w:tblPr>
        <w:tblStyle w:val="18"/>
        <w:tblW w:w="93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1"/>
        <w:gridCol w:w="694"/>
        <w:gridCol w:w="1048"/>
        <w:gridCol w:w="3864"/>
        <w:gridCol w:w="564"/>
        <w:gridCol w:w="588"/>
        <w:gridCol w:w="1098"/>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3"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序号</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项目</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品牌/</w:t>
            </w:r>
          </w:p>
          <w:p>
            <w:pPr>
              <w:keepNext w:val="0"/>
              <w:keepLines w:val="0"/>
              <w:widowControl/>
              <w:suppressLineNumbers w:val="0"/>
              <w:jc w:val="center"/>
              <w:textAlignment w:val="center"/>
              <w:rPr>
                <w:rFonts w:hint="eastAsia"/>
                <w:b/>
                <w:bCs/>
                <w:lang w:val="en-US" w:eastAsia="zh-CN"/>
              </w:rPr>
            </w:pPr>
            <w:r>
              <w:rPr>
                <w:rFonts w:hint="eastAsia"/>
                <w:b/>
                <w:bCs/>
                <w:lang w:val="en-US" w:eastAsia="zh-CN"/>
              </w:rPr>
              <w:t>型号</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参数/功能描述</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数量</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单位</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b/>
                <w:bCs/>
                <w:lang w:val="en-US" w:eastAsia="zh-CN"/>
              </w:rPr>
            </w:pPr>
            <w:r>
              <w:rPr>
                <w:rFonts w:hint="eastAsia"/>
                <w:b/>
                <w:bCs/>
                <w:lang w:val="en-US" w:eastAsia="zh-CN"/>
              </w:rPr>
              <w:t>单价最高限价（元）</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b/>
                <w:bCs/>
                <w:lang w:val="en-US" w:eastAsia="zh-CN"/>
              </w:rPr>
            </w:pPr>
            <w:r>
              <w:rPr>
                <w:rFonts w:hint="eastAsia"/>
                <w:b/>
                <w:bCs/>
                <w:lang w:val="en-US" w:eastAsia="zh-CN"/>
              </w:rPr>
              <w:t>总价限价</w:t>
            </w:r>
          </w:p>
          <w:p>
            <w:pPr>
              <w:keepNext w:val="0"/>
              <w:keepLines w:val="0"/>
              <w:widowControl/>
              <w:suppressLineNumbers w:val="0"/>
              <w:jc w:val="center"/>
              <w:textAlignment w:val="center"/>
              <w:rPr>
                <w:rFonts w:hint="default"/>
                <w:b/>
                <w:bCs/>
                <w:lang w:val="en-US" w:eastAsia="zh-CN"/>
              </w:rPr>
            </w:pPr>
            <w:r>
              <w:rPr>
                <w:rFonts w:hint="eastAsia"/>
                <w:b/>
                <w:bCs/>
                <w:lang w:val="en-US"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0"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可视对讲机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海康威视DS-KV8223-M1</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【技术参数】1. 操作系统：嵌入式操作系统；2. 屏幕尺寸：无屏；3. 屏幕分辨率：无；4. 摄像头参数：CMOS低照度200w像素高清彩色摄像头，红外补光；5. 操作方式：2个实体按键；6. 存储容量：无；7. 认证方式：无；8. 通信方式：有线网络；9. 网络协议：支持SIP2.0、TCP/IP、RTSP、isup协议、isapi协议、SDK协议、萤石协议；10. 硬件接口：RJ45*1，电源接口*1，RS485*1，IO输入*2，继电器接口*1，音频输入接口*1，音频输出接口*1，TF/micro SD卡接口*1；11. 安装方式：明装；12. 供电方式：DC 12V /标准POE；13. 设备功耗：≤8W；14. 工作温度：-30℃-＋53℃；15. 工作湿度：10%-95%</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16. 防护等级：IP65、IK08；17. 产品尺寸：174mm*91mm*29mm</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【功能特性】：1. 采用监控级200W高清摄像头（宽动态，120度超广角），支持作为安防监控点7*24全天候预览、录像；2. 采用智能补光，设备自动判断环境光照实施红外补光；3. 自带门禁功能，实现单元门的电控；4. 支持外接一个RS485读卡器，作为出门读卡使用；5. 支持Web管理，支持参数配置、系统维护、视频预览、人员信息查询等功能；6. 支持与室内机、中心管理机之间双向对讲；7. 支持云眸社区接入，配合云眸社区APP实现云对讲功能；8. 支持VOIP电话网关功能，通过云眸配置业主手机号，在室内机和APP无应答时可拨打业主电话；9. 支持一台主机带多台副机管理，同单元最多支持1拖7共8台门口机；10. 支持报警功能，设备带门磁报警接入、防拆报警；11. 采用先进的硬件噪声抑制与回声消除技术，保证话音质量清晰明亮；12. 工程安装便利性（支持中心远程升级、本地Web管理，支持刷机批量配置）</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35</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¥1,499.84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¥52,494.40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4"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海康威视DS-KM9503</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微软雅黑" w:hAnsi="微软雅黑" w:eastAsia="微软雅黑" w:cs="微软雅黑"/>
                <w:i w:val="0"/>
                <w:color w:val="000000"/>
                <w:sz w:val="16"/>
                <w:szCs w:val="16"/>
                <w:u w:val="none"/>
              </w:rPr>
            </w:pPr>
            <w:r>
              <w:rPr>
                <w:rFonts w:hint="eastAsia" w:ascii="微软雅黑" w:hAnsi="微软雅黑" w:eastAsia="微软雅黑" w:cs="微软雅黑"/>
                <w:i w:val="0"/>
                <w:color w:val="000000"/>
                <w:kern w:val="0"/>
                <w:sz w:val="16"/>
                <w:szCs w:val="16"/>
                <w:u w:val="none"/>
                <w:lang w:val="en-US" w:eastAsia="zh-CN" w:bidi="ar"/>
              </w:rPr>
              <w:t>【技术参数】1.显示屏：10.1英寸IPS彩色触摸屏；2.显示屏分辨率：1280*800；3.摄像头：CMOS 200W像素，可开关；4.操作方式：触摸屏幕+触摸按键；5.网络协议：TCP/IP 、RTSP、SIP2.0；6.硬件接口：RJ45*1，RS485*1，USB*3（其中一个是下载口），IO输入*2，IO输出*2，TF拓展接口*1，HDMI*1；7.供电方式：DC12V(自带电源适配器)或标准POE；8.设备功耗：≤12W；9.工作温度： -10 °C-+50 °C；10.工作湿度：10%-90%；11.防护等级：IP54，室内使用；12.安装方式：桌面式安装或壁挂式安装；13.产品尺寸：292mm*166mm*31mm（长*宽*厚）；</w:t>
            </w:r>
            <w:r>
              <w:rPr>
                <w:rFonts w:hint="eastAsia" w:ascii="微软雅黑" w:hAnsi="微软雅黑" w:eastAsia="微软雅黑" w:cs="微软雅黑"/>
                <w:i w:val="0"/>
                <w:color w:val="000000"/>
                <w:kern w:val="0"/>
                <w:sz w:val="16"/>
                <w:szCs w:val="16"/>
                <w:u w:val="none"/>
                <w:lang w:val="en-US" w:eastAsia="zh-CN" w:bidi="ar"/>
              </w:rPr>
              <w:br w:type="textWrapping"/>
            </w:r>
            <w:r>
              <w:rPr>
                <w:rFonts w:hint="eastAsia" w:ascii="微软雅黑" w:hAnsi="微软雅黑" w:eastAsia="微软雅黑" w:cs="微软雅黑"/>
                <w:i w:val="0"/>
                <w:color w:val="000000"/>
                <w:kern w:val="0"/>
                <w:sz w:val="16"/>
                <w:szCs w:val="16"/>
                <w:u w:val="none"/>
                <w:lang w:val="en-US" w:eastAsia="zh-CN" w:bidi="ar"/>
              </w:rPr>
              <w:t>【功能特性】1.视频监控：支持预览权限范围内公共摄像头及门口机实时画面，可4路720P画面同时监视，可点击门口机画面进行对讲；2.对讲功能：支持与门口机、室内机及其他管理机之间的可视对讲，支持遇忙呼叫等待、呼叫转移功能；3.多方对讲：支持拉取多台室内机、管理机设备进行多方对讲，最大支持16台设备；4.副机管理：支持1主64副管理机，多管理机场景支持群呼和按优先级呼叫；5.录音录像：支持视频监视时抓拍、录像监视画面，对讲通话时录音；6.远程开门：支持在被门口机呼叫或远程监视门口机时远程开锁；7.广播功能：支持实时广播、定时广播功能；8.报警接收：实时接收、显示业主家庭室内机发送的报警信息；9.SIP服务：提供10000路SIP服务，节省成本，优化产品系统架构；10.外设拓展：支持拓展鹅颈话筒、音箱&amp;指纹模块、TF卡，用于提高音量，扩展容量，提高安全性；11.安卓系统，支持第三方app安装（2个），便于拓展个性业务应用；12.设备管理：设备支持对室内机校时，支持查看门口机、室内机在线状态可对门口机、室内机升级；13.Web管理：设备支持web进行参数配置、账号管理、系统维护等操作；</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¥4,461.16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¥4,461.16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对讲机电源</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绿电LD-12360 LRS</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额定功率：360 W；输入电压：180-264V；输出电压：12V；输出电流：30A</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¥207.83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¥1,662.64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海康DS-K4E101</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单头静音锁；带指示灯状态反馈；支持钥匙开门；供电DC12V。</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¥361.73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¥6,149.41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单门磁力锁</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海康DS-K4H450PSC</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500公斤单门磁力锁；带门磁反馈信号；带指示灯状态反馈；供电DC12V。</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¥636.21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¥636.21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9"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闭门器</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海康DS-K4DC104</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铝合金材质；液压模式，适合门重：60-85KG。</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98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24口接入交换机</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华为S5735S-L24T4S-QA2</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设备要求：交换容量≥330Gbps，包转发率≥105Mpps，千兆电口≥24个，千兆SFP+光口≥4个。</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二层功能：支持4K个VLAN，支持Voice VLAN，基于端口的VLAN，基于MAC的VLAN，基于协议的VLAN。</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三层功能：支持RIP、RIPng、OSPF路由协议。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安全功能：支持防止DOS、ARP攻击功能、ICMP防攻击，支持端口隔离、端口安全、Sticky MAC，支持IP/Port/MAC的绑定功能，支持CPU防攻击。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QOS：支持对端口接收报文速率和发送报文速率进行限制，支持SP、WRR、SP+WRR等队列调度算法，支持报文的802.1p和DSCP优先级重新标记。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管理维护：支持SNMP v1/v2/v3、Telnet、RMON，支持通过命令行、Web、中文图形化配置软件等方式进行配置和管理。</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¥1,551.05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¥12,408.40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7"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超五类屏蔽4对双绞线</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1.超过 ANSI/TIA-568-C.2 ， ISO/IEC11801:2002, EN5013:2002 中的要求；2.品质稳定并可传输达100MHz，单股线径23AWG,4对,8芯，每芯带有彩色护套，十字分割；3.结构：FTP；4.导体直径 0.57±0.005mm；5.工作过程中（最小）弯曲半径 65mm；6.护套：聚氯乙烯 (PVC) ；7.产品包装：纸箱包装（305米）；8.选用高质量的材料制成，保证25年性能不变，生产厂家提供25年质保承诺和授权函。</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¥4,011.00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4"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RVV2×1.00</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¥3.39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¥3,559.50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定制值班台面</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根据新增对讲管理机尺寸重新定制武警值班室四联操作台钢板桌面，桌面面积为2.4*0.9平方米。</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¥1,840.00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1"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104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3864"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门禁控制设备以及配套辅材，含暗敷施工、定制实施，含PVC管材、螺丝、扎带、胶布、接插件、安装底盒等各类施工辅材，满足项目建设需求；需要在武警值班室内网电脑安装海康iVMS-4200客户端，并将对讲分机及管理机添加到客户端进行统一管理。</w:t>
            </w:r>
          </w:p>
        </w:tc>
        <w:tc>
          <w:tcPr>
            <w:tcW w:w="56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8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098"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¥257.26 </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¥9,004.10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以上小计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¥96,418.26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B</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绿色施工安全防护措施费+其他措施费</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¥4,616.43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C</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其他项目合计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预算包干费等</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¥1,290.59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(A+B+C)*6%</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¥6,139.52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391"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w:t>
            </w:r>
          </w:p>
        </w:tc>
        <w:tc>
          <w:tcPr>
            <w:tcW w:w="694"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7162" w:type="dxa"/>
            <w:gridSpan w:val="5"/>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A+B+C+D</w:t>
            </w:r>
          </w:p>
        </w:tc>
        <w:tc>
          <w:tcPr>
            <w:tcW w:w="113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¥108,464.80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9379" w:type="dxa"/>
            <w:gridSpan w:val="8"/>
            <w:tcBorders>
              <w:tl2br w:val="nil"/>
              <w:tr2bl w:val="nil"/>
            </w:tcBorders>
            <w:tcMar>
              <w:top w:w="15" w:type="dxa"/>
              <w:left w:w="15" w:type="dxa"/>
              <w:right w:w="15" w:type="dxa"/>
            </w:tcMar>
            <w:vAlign w:val="center"/>
          </w:tcPr>
          <w:p>
            <w:pPr>
              <w:pStyle w:val="14"/>
              <w:rPr>
                <w:rFonts w:hint="default"/>
                <w:lang w:val="en-US"/>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注：.以上含2年系统运维，安装调试、人工和税金等费用。</w:t>
            </w:r>
          </w:p>
        </w:tc>
      </w:tr>
    </w:tbl>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四、服务内容</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（一）安装可视对讲分机，对现有电子门锁进行改造，同时预留1部用于日常紧急更替，共计33部可视对讲分机。</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（二）安装可视对讲分机，安装1套电子门锁，共计安装2部可视对讲分机，1套电子门锁。</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（三）安装可视对讲管理机1部，实现与各门禁点的实时对讲通话及门禁控制。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（四）在8个部位各安装1台24口交换机，共计安装8台24口交换机。</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（五）根据新增对讲管理机尺寸，重新定制值班四联操作台钢板桌面。</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五、服务标准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按项目清单、服务内容要求配备设备，规范铺设线路，对设备进行安装调试，对接门禁管理平台，确保设备和系统正常运行。</w:t>
      </w:r>
    </w:p>
    <w:p>
      <w:pPr>
        <w:pageBreakBefore w:val="0"/>
        <w:numPr>
          <w:ilvl w:val="0"/>
          <w:numId w:val="2"/>
        </w:numPr>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设备材料的包装必须是制造商原厂包装，其包装均应有良好的防湿、防锈、防潮、防雨、防腐及防碰撞的措施。凡由于包装不良造成的损失和由此产生的费用均由供应商承担。</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（二）设备调试、系统对接必须能确保设备在相应系统内能顺畅、高效运行。</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六、（交付）期限</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合同签订之日起45个自然日内。</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七、供应商资格条件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（一）具有独立承担民事责任的在中华人民共和国境内注册的法人或其他组织。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（二）具有履行本项目所必需的设备和专业技术能力。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八、款项支付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项目验收合格，收到供应商有效发票后15日内完成合同金额支付。</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九、售后保障</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本项目自验收合格之日起质保2年。供应商签订合同后5个工作日内，需缴纳合同总价的3%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十、验收标准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采购人根据有关国家行业所列标准及规范、规定、核对项目采购文件、清单、货物原厂证明、合同等材料，采购项目品牌、数量、质量、功能、安装工艺、对接测试情况和运行情况等均需符合要求。</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44"/>
          <w:szCs w:val="44"/>
          <w:lang w:val="en-US" w:eastAsia="zh-CN"/>
        </w:rPr>
      </w:pPr>
      <w:r>
        <w:rPr>
          <w:rFonts w:hint="eastAsia" w:ascii="宋体" w:hAnsi="宋体" w:cs="宋体"/>
          <w:b/>
          <w:bCs/>
          <w:sz w:val="44"/>
          <w:szCs w:val="44"/>
          <w:lang w:val="en-US" w:eastAsia="zh-CN"/>
        </w:rPr>
        <w:t>广东省河源监狱门禁设备采购项目</w:t>
      </w: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p>
    <w:p>
      <w:pPr>
        <w:pStyle w:val="7"/>
        <w:rPr>
          <w:rFonts w:hint="eastAsia"/>
          <w:lang w:val="en-US" w:eastAsia="zh-CN"/>
        </w:rPr>
      </w:pPr>
    </w:p>
    <w:p>
      <w:pPr>
        <w:pStyle w:val="7"/>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3"/>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7"/>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1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10"/>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（项目名称）</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ilvl w:val="0"/>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10"/>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ilvl w:val="0"/>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广东省河源监狱门禁设备采购项目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4"/>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990"/>
        <w:gridCol w:w="749"/>
        <w:gridCol w:w="1438"/>
        <w:gridCol w:w="2706"/>
        <w:gridCol w:w="130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序号</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项目内容</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数量</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预算金额</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（元）</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统一折扣率</w:t>
            </w:r>
            <w:r>
              <w:rPr>
                <w:rFonts w:hint="eastAsia" w:ascii="宋体" w:hAnsi="宋体" w:eastAsiaTheme="minorEastAsia" w:cstheme="minorBidi"/>
                <w:b/>
                <w:bCs w:val="0"/>
                <w:color w:val="auto"/>
                <w:spacing w:val="4"/>
                <w:kern w:val="2"/>
                <w:sz w:val="21"/>
                <w:szCs w:val="21"/>
                <w:u w:val="none"/>
                <w:lang w:val="en-US" w:eastAsia="zh-CN" w:bidi="ar-SA"/>
              </w:rPr>
              <w:t>（</w:t>
            </w:r>
            <w:r>
              <w:rPr>
                <w:rFonts w:hint="eastAsia" w:ascii="宋体" w:hAnsi="宋体" w:cstheme="minorBidi"/>
                <w:b/>
                <w:bCs w:val="0"/>
                <w:color w:val="auto"/>
                <w:spacing w:val="4"/>
                <w:kern w:val="2"/>
                <w:sz w:val="21"/>
                <w:szCs w:val="21"/>
                <w:u w:val="none"/>
                <w:lang w:val="en-US" w:eastAsia="zh-CN" w:bidi="ar-SA"/>
              </w:rPr>
              <w:t>%</w:t>
            </w:r>
            <w:r>
              <w:rPr>
                <w:rFonts w:hint="eastAsia" w:ascii="宋体" w:hAnsi="宋体" w:eastAsiaTheme="minorEastAsia" w:cstheme="minorBidi"/>
                <w:b/>
                <w:bCs w:val="0"/>
                <w:color w:val="auto"/>
                <w:spacing w:val="4"/>
                <w:kern w:val="2"/>
                <w:sz w:val="21"/>
                <w:szCs w:val="21"/>
                <w:u w:val="none"/>
                <w:lang w:val="en-US" w:eastAsia="zh-CN" w:bidi="ar-SA"/>
              </w:rPr>
              <w:t>）</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完成工期</w:t>
            </w:r>
          </w:p>
        </w:tc>
        <w:tc>
          <w:tcPr>
            <w:tcW w:w="1317"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广东省河源监狱门禁设备采购项目</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宋体" w:hAnsi="宋体" w:cstheme="minorBidi"/>
                <w:b w:val="0"/>
                <w:bCs/>
                <w:color w:val="auto"/>
                <w:spacing w:val="4"/>
                <w:kern w:val="2"/>
                <w:sz w:val="21"/>
                <w:szCs w:val="21"/>
                <w:u w:val="none"/>
                <w:lang w:val="en-US" w:eastAsia="zh-CN" w:bidi="ar-SA"/>
              </w:rPr>
              <w:t>¥</w:t>
            </w:r>
            <w:r>
              <w:rPr>
                <w:rFonts w:hint="eastAsia" w:ascii="宋体" w:hAnsi="宋体" w:cstheme="minorBidi"/>
                <w:b w:val="0"/>
                <w:bCs/>
                <w:color w:val="auto"/>
                <w:spacing w:val="4"/>
                <w:kern w:val="2"/>
                <w:sz w:val="21"/>
                <w:szCs w:val="21"/>
                <w:u w:val="none"/>
                <w:lang w:val="en-US" w:eastAsia="zh-CN" w:bidi="ar-SA"/>
              </w:rPr>
              <w:t>108,464.80</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r>
              <w:rPr>
                <w:rFonts w:hint="eastAsia" w:ascii="宋体" w:hAnsi="宋体" w:cstheme="minorBidi"/>
                <w:b w:val="0"/>
                <w:bCs/>
                <w:color w:val="auto"/>
                <w:spacing w:val="4"/>
                <w:kern w:val="2"/>
                <w:sz w:val="21"/>
                <w:szCs w:val="21"/>
                <w:u w:val="single"/>
                <w:lang w:val="en-US" w:eastAsia="zh-CN" w:bidi="ar-SA"/>
              </w:rPr>
              <w:t xml:space="preserve">       </w:t>
            </w:r>
            <w:r>
              <w:rPr>
                <w:rFonts w:hint="eastAsia" w:ascii="宋体" w:hAnsi="宋体" w:cstheme="minorBidi"/>
                <w:b w:val="0"/>
                <w:bCs/>
                <w:color w:val="auto"/>
                <w:spacing w:val="4"/>
                <w:kern w:val="2"/>
                <w:sz w:val="21"/>
                <w:szCs w:val="21"/>
                <w:u w:val="none"/>
                <w:lang w:val="en-US" w:eastAsia="zh-CN" w:bidi="ar-SA"/>
              </w:rPr>
              <w:t>%</w:t>
            </w:r>
          </w:p>
          <w:p>
            <w:pPr>
              <w:pStyle w:val="6"/>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single"/>
                <w:lang w:val="en-US" w:eastAsia="zh-CN" w:bidi="ar-SA"/>
              </w:rPr>
            </w:pPr>
            <w:r>
              <w:rPr>
                <w:rFonts w:hint="eastAsia" w:ascii="宋体" w:hAnsi="宋体" w:cstheme="minorBidi"/>
                <w:b w:val="0"/>
                <w:bCs/>
                <w:color w:val="auto"/>
                <w:spacing w:val="4"/>
                <w:kern w:val="2"/>
                <w:sz w:val="21"/>
                <w:szCs w:val="21"/>
                <w:u w:val="none"/>
                <w:lang w:val="en-US" w:eastAsia="zh-CN" w:bidi="ar-SA"/>
              </w:rPr>
              <w:t>大写：百分之</w:t>
            </w:r>
            <w:r>
              <w:rPr>
                <w:rFonts w:hint="eastAsia" w:ascii="宋体" w:hAnsi="宋体" w:cstheme="minorBidi"/>
                <w:b w:val="0"/>
                <w:bCs/>
                <w:color w:val="auto"/>
                <w:spacing w:val="4"/>
                <w:kern w:val="2"/>
                <w:sz w:val="21"/>
                <w:szCs w:val="21"/>
                <w:u w:val="single"/>
                <w:lang w:val="en-US" w:eastAsia="zh-CN" w:bidi="ar-SA"/>
              </w:rPr>
              <w:t xml:space="preserve">       </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合同签订之日起45个日历天完工。</w:t>
            </w:r>
          </w:p>
        </w:tc>
        <w:tc>
          <w:tcPr>
            <w:tcW w:w="13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1.绿色施工安全防护措施费</w:t>
            </w:r>
            <w:r>
              <w:rPr>
                <w:rFonts w:hint="default"/>
                <w:lang w:val="en-US" w:eastAsia="zh-CN"/>
              </w:rPr>
              <w:t>¥</w:t>
            </w:r>
            <w:r>
              <w:rPr>
                <w:rFonts w:hint="eastAsia"/>
                <w:lang w:val="en-US" w:eastAsia="zh-CN"/>
              </w:rPr>
              <w:t>4,616.43元，该措施费为不可竞争费用。</w:t>
            </w:r>
          </w:p>
          <w:p>
            <w:pPr>
              <w:keepNext w:val="0"/>
              <w:keepLines w:val="0"/>
              <w:pageBreakBefore w:val="0"/>
              <w:widowControl/>
              <w:numPr>
                <w:ilvl w:val="0"/>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2.本项目6%税率不可下浮。</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p>
    <w:p>
      <w:pPr>
        <w:pStyle w:val="15"/>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9"/>
        <w:rPr>
          <w:rFonts w:hint="eastAsia"/>
        </w:rPr>
      </w:pPr>
    </w:p>
    <w:p>
      <w:pPr>
        <w:pStyle w:val="9"/>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B40BB547"/>
    <w:multiLevelType w:val="singleLevel"/>
    <w:tmpl w:val="B40BB547"/>
    <w:lvl w:ilvl="0" w:tentative="0">
      <w:start w:val="1"/>
      <w:numFmt w:val="chineseCounting"/>
      <w:suff w:val="nothing"/>
      <w:lvlText w:val="（%1）"/>
      <w:lvlJc w:val="left"/>
      <w:rPr>
        <w:rFonts w:hint="eastAsia"/>
      </w:rPr>
    </w:lvl>
  </w:abstractNum>
  <w:abstractNum w:abstractNumId="2">
    <w:nsid w:val="11336460"/>
    <w:multiLevelType w:val="singleLevel"/>
    <w:tmpl w:val="11336460"/>
    <w:lvl w:ilvl="0" w:tentative="0">
      <w:start w:val="1"/>
      <w:numFmt w:val="chineseCounting"/>
      <w:suff w:val="space"/>
      <w:lvlText w:val="第%1章"/>
      <w:lvlJc w:val="left"/>
      <w:rPr>
        <w:rFonts w:hint="eastAsia"/>
      </w:r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950175"/>
    <w:rsid w:val="00E21113"/>
    <w:rsid w:val="00EE48ED"/>
    <w:rsid w:val="012D02A1"/>
    <w:rsid w:val="0155715C"/>
    <w:rsid w:val="01906AA3"/>
    <w:rsid w:val="01C67967"/>
    <w:rsid w:val="01C728D0"/>
    <w:rsid w:val="028E67F3"/>
    <w:rsid w:val="02EE1FF0"/>
    <w:rsid w:val="03356B49"/>
    <w:rsid w:val="03CF4982"/>
    <w:rsid w:val="04C27B6C"/>
    <w:rsid w:val="04CB40CB"/>
    <w:rsid w:val="05326F8E"/>
    <w:rsid w:val="05601E08"/>
    <w:rsid w:val="07A40D36"/>
    <w:rsid w:val="08861E19"/>
    <w:rsid w:val="08F6786C"/>
    <w:rsid w:val="09C22DF1"/>
    <w:rsid w:val="0B3C2B55"/>
    <w:rsid w:val="0BA10DA1"/>
    <w:rsid w:val="0BC5664A"/>
    <w:rsid w:val="0BDA4A8E"/>
    <w:rsid w:val="0C373B85"/>
    <w:rsid w:val="0CAD59F1"/>
    <w:rsid w:val="0D226E45"/>
    <w:rsid w:val="0D286BAA"/>
    <w:rsid w:val="0D934A87"/>
    <w:rsid w:val="0DAA06F2"/>
    <w:rsid w:val="0E194127"/>
    <w:rsid w:val="0F1B3E67"/>
    <w:rsid w:val="0F5E54BB"/>
    <w:rsid w:val="0FCD68E2"/>
    <w:rsid w:val="0FDB0123"/>
    <w:rsid w:val="10662DEA"/>
    <w:rsid w:val="11B25927"/>
    <w:rsid w:val="11E44571"/>
    <w:rsid w:val="1234350B"/>
    <w:rsid w:val="123D6A4D"/>
    <w:rsid w:val="124A4C2D"/>
    <w:rsid w:val="1274634C"/>
    <w:rsid w:val="12805672"/>
    <w:rsid w:val="12B14E98"/>
    <w:rsid w:val="12B82EB6"/>
    <w:rsid w:val="135E05E2"/>
    <w:rsid w:val="1397165D"/>
    <w:rsid w:val="13F9130C"/>
    <w:rsid w:val="144354FB"/>
    <w:rsid w:val="14644144"/>
    <w:rsid w:val="14697459"/>
    <w:rsid w:val="14B04DE7"/>
    <w:rsid w:val="14F77FDF"/>
    <w:rsid w:val="16737FD7"/>
    <w:rsid w:val="16F50701"/>
    <w:rsid w:val="16FA45C8"/>
    <w:rsid w:val="17731ECE"/>
    <w:rsid w:val="186D7D0F"/>
    <w:rsid w:val="198E39D1"/>
    <w:rsid w:val="19C1544E"/>
    <w:rsid w:val="19DA1D52"/>
    <w:rsid w:val="1A71043E"/>
    <w:rsid w:val="1AA5611E"/>
    <w:rsid w:val="1AC25305"/>
    <w:rsid w:val="1B34727B"/>
    <w:rsid w:val="1BED1A6A"/>
    <w:rsid w:val="1BFA5FCE"/>
    <w:rsid w:val="1CD16E1B"/>
    <w:rsid w:val="1DB3554B"/>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0E6BC1"/>
    <w:rsid w:val="2B80725D"/>
    <w:rsid w:val="2BF10F74"/>
    <w:rsid w:val="2C627AC8"/>
    <w:rsid w:val="2D5007B8"/>
    <w:rsid w:val="2D7B5115"/>
    <w:rsid w:val="2D895964"/>
    <w:rsid w:val="2D8F2E7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D42DDF"/>
    <w:rsid w:val="332D2CD8"/>
    <w:rsid w:val="33597986"/>
    <w:rsid w:val="34364FAB"/>
    <w:rsid w:val="34A87402"/>
    <w:rsid w:val="37B54E1D"/>
    <w:rsid w:val="37B81BEC"/>
    <w:rsid w:val="386D579C"/>
    <w:rsid w:val="38787AEA"/>
    <w:rsid w:val="38F92A66"/>
    <w:rsid w:val="39332CE3"/>
    <w:rsid w:val="393E2369"/>
    <w:rsid w:val="39766806"/>
    <w:rsid w:val="39D019BE"/>
    <w:rsid w:val="39E40121"/>
    <w:rsid w:val="3A6A5AFB"/>
    <w:rsid w:val="3A8676EF"/>
    <w:rsid w:val="3AA61E42"/>
    <w:rsid w:val="3B0E690B"/>
    <w:rsid w:val="3D032FD2"/>
    <w:rsid w:val="3D141D75"/>
    <w:rsid w:val="3D7C5581"/>
    <w:rsid w:val="3DC84A9A"/>
    <w:rsid w:val="3DFE6052"/>
    <w:rsid w:val="3E2712A7"/>
    <w:rsid w:val="3EF24ED3"/>
    <w:rsid w:val="3FB21705"/>
    <w:rsid w:val="3FB76239"/>
    <w:rsid w:val="3FE77A82"/>
    <w:rsid w:val="4017186C"/>
    <w:rsid w:val="412B3BD0"/>
    <w:rsid w:val="41711287"/>
    <w:rsid w:val="421435C1"/>
    <w:rsid w:val="435726A3"/>
    <w:rsid w:val="43D27BC8"/>
    <w:rsid w:val="43F7549F"/>
    <w:rsid w:val="44074471"/>
    <w:rsid w:val="44F274AD"/>
    <w:rsid w:val="455508FB"/>
    <w:rsid w:val="456D16EE"/>
    <w:rsid w:val="468E2CEF"/>
    <w:rsid w:val="46FA0032"/>
    <w:rsid w:val="47007902"/>
    <w:rsid w:val="47635B47"/>
    <w:rsid w:val="47713968"/>
    <w:rsid w:val="482A15EC"/>
    <w:rsid w:val="48C06DB5"/>
    <w:rsid w:val="491252EC"/>
    <w:rsid w:val="4913323F"/>
    <w:rsid w:val="49260F5F"/>
    <w:rsid w:val="492807E8"/>
    <w:rsid w:val="49F45198"/>
    <w:rsid w:val="4AB47B42"/>
    <w:rsid w:val="4B1B2583"/>
    <w:rsid w:val="4B873501"/>
    <w:rsid w:val="4BE60AA6"/>
    <w:rsid w:val="4C2D72B7"/>
    <w:rsid w:val="4C7B4010"/>
    <w:rsid w:val="4D4A51B9"/>
    <w:rsid w:val="4E306D68"/>
    <w:rsid w:val="4E673129"/>
    <w:rsid w:val="4EB20057"/>
    <w:rsid w:val="4F3E14BF"/>
    <w:rsid w:val="4F8C652D"/>
    <w:rsid w:val="4FB5527C"/>
    <w:rsid w:val="4FB67A4E"/>
    <w:rsid w:val="4FC819B8"/>
    <w:rsid w:val="503F68FC"/>
    <w:rsid w:val="506D1AB1"/>
    <w:rsid w:val="50A11CFE"/>
    <w:rsid w:val="50D85556"/>
    <w:rsid w:val="515E7A70"/>
    <w:rsid w:val="517B4F66"/>
    <w:rsid w:val="51C71A20"/>
    <w:rsid w:val="5209190E"/>
    <w:rsid w:val="52963376"/>
    <w:rsid w:val="52966A1A"/>
    <w:rsid w:val="52C35109"/>
    <w:rsid w:val="52D4625F"/>
    <w:rsid w:val="53931652"/>
    <w:rsid w:val="53B264F4"/>
    <w:rsid w:val="5404418E"/>
    <w:rsid w:val="54117BA3"/>
    <w:rsid w:val="54561298"/>
    <w:rsid w:val="54590F0A"/>
    <w:rsid w:val="54B57A63"/>
    <w:rsid w:val="54C37276"/>
    <w:rsid w:val="54F22092"/>
    <w:rsid w:val="551F4298"/>
    <w:rsid w:val="554B30FE"/>
    <w:rsid w:val="55FD7DDC"/>
    <w:rsid w:val="560A53C4"/>
    <w:rsid w:val="5661418B"/>
    <w:rsid w:val="577B505A"/>
    <w:rsid w:val="577B5528"/>
    <w:rsid w:val="587B3035"/>
    <w:rsid w:val="587C1D09"/>
    <w:rsid w:val="596464DE"/>
    <w:rsid w:val="597F708F"/>
    <w:rsid w:val="59F138CC"/>
    <w:rsid w:val="5ACF512A"/>
    <w:rsid w:val="5B3F704D"/>
    <w:rsid w:val="5B4A21F6"/>
    <w:rsid w:val="5B75444A"/>
    <w:rsid w:val="5C077ED5"/>
    <w:rsid w:val="5C3638A7"/>
    <w:rsid w:val="5CA85FC8"/>
    <w:rsid w:val="5D2F38E7"/>
    <w:rsid w:val="5DAA7BC7"/>
    <w:rsid w:val="5E2D7AA1"/>
    <w:rsid w:val="5EB66D4F"/>
    <w:rsid w:val="5FBB3877"/>
    <w:rsid w:val="601F6302"/>
    <w:rsid w:val="60DF1078"/>
    <w:rsid w:val="619F122B"/>
    <w:rsid w:val="61B35F9C"/>
    <w:rsid w:val="62356DFF"/>
    <w:rsid w:val="6245055A"/>
    <w:rsid w:val="62530A17"/>
    <w:rsid w:val="62B40538"/>
    <w:rsid w:val="63257394"/>
    <w:rsid w:val="638C78E9"/>
    <w:rsid w:val="63913028"/>
    <w:rsid w:val="63B9340E"/>
    <w:rsid w:val="63B941FE"/>
    <w:rsid w:val="63EA38F8"/>
    <w:rsid w:val="6455458D"/>
    <w:rsid w:val="64557329"/>
    <w:rsid w:val="66EC4BFA"/>
    <w:rsid w:val="676C5BA9"/>
    <w:rsid w:val="67A516B7"/>
    <w:rsid w:val="681B158A"/>
    <w:rsid w:val="687C3FAE"/>
    <w:rsid w:val="68CE1254"/>
    <w:rsid w:val="692C1847"/>
    <w:rsid w:val="698F20E1"/>
    <w:rsid w:val="69CB1013"/>
    <w:rsid w:val="69D12E8E"/>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5476B2"/>
    <w:rsid w:val="73656151"/>
    <w:rsid w:val="738B1085"/>
    <w:rsid w:val="745449E5"/>
    <w:rsid w:val="74747C07"/>
    <w:rsid w:val="74FC0165"/>
    <w:rsid w:val="756E3555"/>
    <w:rsid w:val="759C0FAD"/>
    <w:rsid w:val="75CF1F29"/>
    <w:rsid w:val="75E91A0F"/>
    <w:rsid w:val="762A42EA"/>
    <w:rsid w:val="77192436"/>
    <w:rsid w:val="77350F71"/>
    <w:rsid w:val="7745190F"/>
    <w:rsid w:val="77904BBB"/>
    <w:rsid w:val="77C17A0C"/>
    <w:rsid w:val="77FF0EFA"/>
    <w:rsid w:val="79A23138"/>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7"/>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Normal Indent"/>
    <w:basedOn w:val="1"/>
    <w:next w:val="1"/>
    <w:qFormat/>
    <w:uiPriority w:val="0"/>
    <w:pPr>
      <w:ind w:firstLine="420"/>
    </w:pPr>
    <w:rPr>
      <w:szCs w:val="20"/>
    </w:rPr>
  </w:style>
  <w:style w:type="paragraph" w:styleId="8">
    <w:name w:val="Body Text 3"/>
    <w:basedOn w:val="1"/>
    <w:qFormat/>
    <w:uiPriority w:val="0"/>
    <w:rPr>
      <w:sz w:val="24"/>
      <w:szCs w:val="20"/>
    </w:rPr>
  </w:style>
  <w:style w:type="paragraph" w:styleId="9">
    <w:name w:val="Body Text"/>
    <w:basedOn w:val="1"/>
    <w:qFormat/>
    <w:uiPriority w:val="0"/>
    <w:pPr>
      <w:tabs>
        <w:tab w:val="left" w:pos="562"/>
        <w:tab w:val="left" w:pos="3372"/>
        <w:tab w:val="left" w:pos="3653"/>
      </w:tabs>
    </w:pPr>
    <w:rPr>
      <w:sz w:val="24"/>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toc 2"/>
    <w:basedOn w:val="1"/>
    <w:next w:val="1"/>
    <w:unhideWhenUsed/>
    <w:qFormat/>
    <w:uiPriority w:val="39"/>
    <w:pPr>
      <w:ind w:left="420" w:leftChars="200"/>
      <w:jc w:val="left"/>
    </w:pPr>
    <w:rPr>
      <w:sz w:val="24"/>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9"/>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2025-03-10T06:41:59Z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