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0" w:firstLineChars="0"/>
        <w:jc w:val="center"/>
        <w:textAlignment w:val="auto"/>
        <w:outlineLvl w:val="9"/>
        <w:rPr>
          <w:rFonts w:hint="eastAsia" w:cs="宋体" w:asciiTheme="minorEastAsia" w:hAnsiTheme="minorEastAsia"/>
          <w:b/>
          <w:bCs/>
          <w:kern w:val="0"/>
          <w:sz w:val="32"/>
          <w:szCs w:val="32"/>
        </w:rPr>
      </w:pPr>
      <w:r>
        <w:rPr>
          <w:rFonts w:hint="eastAsia" w:cs="宋体" w:asciiTheme="minorEastAsia" w:hAnsiTheme="minorEastAsia"/>
          <w:b/>
          <w:bCs/>
          <w:kern w:val="0"/>
          <w:sz w:val="32"/>
          <w:szCs w:val="32"/>
        </w:rPr>
        <w:t>广东省河源监狱罪犯伙房低值易耗品采购</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0" w:firstLineChars="0"/>
        <w:jc w:val="center"/>
        <w:textAlignment w:val="auto"/>
        <w:outlineLvl w:val="9"/>
        <w:rPr>
          <w:rFonts w:hint="eastAsia" w:cs="宋体" w:asciiTheme="minorEastAsia" w:hAnsiTheme="minorEastAsia"/>
          <w:b/>
          <w:bCs/>
          <w:kern w:val="0"/>
          <w:sz w:val="32"/>
          <w:szCs w:val="32"/>
        </w:rPr>
      </w:pPr>
      <w:r>
        <w:rPr>
          <w:rFonts w:hint="eastAsia" w:cs="宋体" w:asciiTheme="minorEastAsia" w:hAnsiTheme="minorEastAsia"/>
          <w:b/>
          <w:bCs/>
          <w:kern w:val="0"/>
          <w:sz w:val="32"/>
          <w:szCs w:val="32"/>
        </w:rPr>
        <w:t>竞价结果公告</w:t>
      </w:r>
    </w:p>
    <w:p>
      <w:pPr>
        <w:widowControl/>
        <w:shd w:val="clear" w:color="auto" w:fill="FFFFFF"/>
        <w:jc w:val="left"/>
        <w:rPr>
          <w:rFonts w:cs="宋体" w:asciiTheme="minorEastAsia" w:hAnsiTheme="minorEastAsia"/>
          <w:kern w:val="0"/>
          <w:szCs w:val="21"/>
        </w:rPr>
      </w:pPr>
    </w:p>
    <w:p>
      <w:pPr>
        <w:keepNext w:val="0"/>
        <w:keepLines w:val="0"/>
        <w:pageBreakBefore w:val="0"/>
        <w:widowControl/>
        <w:shd w:val="clear" w:color="auto" w:fill="FFFFFF"/>
        <w:kinsoku/>
        <w:wordWrap/>
        <w:overflowPunct/>
        <w:topLinePunct w:val="0"/>
        <w:autoSpaceDE/>
        <w:autoSpaceDN/>
        <w:bidi w:val="0"/>
        <w:adjustRightInd/>
        <w:spacing w:line="400" w:lineRule="exact"/>
        <w:ind w:firstLine="420" w:firstLineChars="200"/>
        <w:outlineLvl w:val="9"/>
        <w:rPr>
          <w:rFonts w:cs="宋体" w:asciiTheme="minorEastAsia" w:hAnsiTheme="minorEastAsia"/>
          <w:kern w:val="0"/>
          <w:szCs w:val="21"/>
        </w:rPr>
      </w:pPr>
      <w:r>
        <w:rPr>
          <w:rFonts w:hint="eastAsia" w:cs="宋体" w:asciiTheme="minorEastAsia" w:hAnsiTheme="minorEastAsia"/>
          <w:kern w:val="0"/>
          <w:szCs w:val="21"/>
        </w:rPr>
        <w:t>广州顺为招标采购有限公司（以下简称“采购代理机构”）受</w:t>
      </w:r>
      <w:r>
        <w:rPr>
          <w:rFonts w:hint="eastAsia" w:ascii="宋体" w:hAnsi="宋体"/>
          <w:szCs w:val="21"/>
        </w:rPr>
        <w:t>广东省河源监狱</w:t>
      </w:r>
      <w:r>
        <w:rPr>
          <w:rFonts w:hint="eastAsia" w:cs="宋体" w:asciiTheme="minorEastAsia" w:hAnsiTheme="minorEastAsia"/>
          <w:kern w:val="0"/>
          <w:szCs w:val="21"/>
        </w:rPr>
        <w:t>（以下简称“采购人”）的委托就广东省河源监狱罪犯伙房低值易耗品采购（项目编号：GZSW25201HJ1129）进行网上竞价采购。采购代理机构于202</w:t>
      </w:r>
      <w:r>
        <w:rPr>
          <w:rFonts w:cs="宋体" w:asciiTheme="minorEastAsia" w:hAnsiTheme="minorEastAsia"/>
          <w:kern w:val="0"/>
          <w:szCs w:val="21"/>
        </w:rPr>
        <w:t>5</w:t>
      </w:r>
      <w:r>
        <w:rPr>
          <w:rFonts w:hint="eastAsia" w:cs="宋体" w:asciiTheme="minorEastAsia" w:hAnsiTheme="minorEastAsia"/>
          <w:kern w:val="0"/>
          <w:szCs w:val="21"/>
        </w:rPr>
        <w:t>年</w:t>
      </w:r>
      <w:r>
        <w:rPr>
          <w:rFonts w:cs="宋体" w:asciiTheme="minorEastAsia" w:hAnsiTheme="minorEastAsia"/>
          <w:kern w:val="0"/>
          <w:szCs w:val="21"/>
        </w:rPr>
        <w:t>4</w:t>
      </w:r>
      <w:r>
        <w:rPr>
          <w:rFonts w:hint="eastAsia" w:cs="宋体" w:asciiTheme="minorEastAsia" w:hAnsiTheme="minorEastAsia"/>
          <w:kern w:val="0"/>
          <w:szCs w:val="21"/>
        </w:rPr>
        <w:t>月</w:t>
      </w:r>
      <w:r>
        <w:rPr>
          <w:rFonts w:cs="宋体" w:asciiTheme="minorEastAsia" w:hAnsiTheme="minorEastAsia"/>
          <w:kern w:val="0"/>
          <w:szCs w:val="21"/>
        </w:rPr>
        <w:t>1</w:t>
      </w:r>
      <w:r>
        <w:rPr>
          <w:rFonts w:hint="eastAsia" w:cs="宋体" w:asciiTheme="minorEastAsia" w:hAnsiTheme="minorEastAsia"/>
          <w:kern w:val="0"/>
          <w:szCs w:val="21"/>
        </w:rPr>
        <w:t>日在“广州顺为招标采购有限公司网”（http://www.gzswbc.com）的电子采购平台发布网上竞价公告，采用网上竞价方式进行采购，报价截止时间为202</w:t>
      </w:r>
      <w:r>
        <w:rPr>
          <w:rFonts w:cs="宋体" w:asciiTheme="minorEastAsia" w:hAnsiTheme="minorEastAsia"/>
          <w:kern w:val="0"/>
          <w:szCs w:val="21"/>
        </w:rPr>
        <w:t>5</w:t>
      </w:r>
      <w:r>
        <w:rPr>
          <w:rFonts w:hint="eastAsia" w:cs="宋体" w:asciiTheme="minorEastAsia" w:hAnsiTheme="minorEastAsia"/>
          <w:kern w:val="0"/>
          <w:szCs w:val="21"/>
        </w:rPr>
        <w:t>年</w:t>
      </w:r>
      <w:r>
        <w:rPr>
          <w:rFonts w:cs="宋体" w:asciiTheme="minorEastAsia" w:hAnsiTheme="minorEastAsia"/>
          <w:kern w:val="0"/>
          <w:szCs w:val="21"/>
        </w:rPr>
        <w:t>4</w:t>
      </w:r>
      <w:r>
        <w:rPr>
          <w:rFonts w:hint="eastAsia" w:cs="宋体" w:asciiTheme="minorEastAsia" w:hAnsiTheme="minorEastAsia"/>
          <w:kern w:val="0"/>
          <w:szCs w:val="21"/>
        </w:rPr>
        <w:t>月</w:t>
      </w:r>
      <w:r>
        <w:rPr>
          <w:rFonts w:cs="宋体" w:asciiTheme="minorEastAsia" w:hAnsiTheme="minorEastAsia"/>
          <w:kern w:val="0"/>
          <w:szCs w:val="21"/>
        </w:rPr>
        <w:t>9</w:t>
      </w:r>
      <w:r>
        <w:rPr>
          <w:rFonts w:hint="eastAsia" w:cs="宋体" w:asciiTheme="minorEastAsia" w:hAnsiTheme="minorEastAsia"/>
          <w:kern w:val="0"/>
          <w:szCs w:val="21"/>
        </w:rPr>
        <w:t>日1</w:t>
      </w:r>
      <w:r>
        <w:rPr>
          <w:rFonts w:cs="宋体" w:asciiTheme="minorEastAsia" w:hAnsiTheme="minorEastAsia"/>
          <w:kern w:val="0"/>
          <w:szCs w:val="21"/>
        </w:rPr>
        <w:t>2</w:t>
      </w:r>
      <w:r>
        <w:rPr>
          <w:rFonts w:hint="eastAsia" w:cs="宋体" w:asciiTheme="minorEastAsia" w:hAnsiTheme="minorEastAsia"/>
          <w:kern w:val="0"/>
          <w:szCs w:val="21"/>
        </w:rPr>
        <w:t>:</w:t>
      </w:r>
      <w:r>
        <w:rPr>
          <w:rFonts w:cs="宋体" w:asciiTheme="minorEastAsia" w:hAnsiTheme="minorEastAsia"/>
          <w:kern w:val="0"/>
          <w:szCs w:val="21"/>
        </w:rPr>
        <w:t>0</w:t>
      </w:r>
      <w:r>
        <w:rPr>
          <w:rFonts w:hint="eastAsia" w:cs="宋体" w:asciiTheme="minorEastAsia" w:hAnsiTheme="minorEastAsia"/>
          <w:kern w:val="0"/>
          <w:szCs w:val="21"/>
        </w:rPr>
        <w:t>0:00。现将本次网上竞价结果公布如下：</w:t>
      </w:r>
    </w:p>
    <w:p>
      <w:pPr>
        <w:keepNext w:val="0"/>
        <w:keepLines w:val="0"/>
        <w:pageBreakBefore w:val="0"/>
        <w:widowControl/>
        <w:shd w:val="clear" w:color="auto" w:fill="FFFFFF"/>
        <w:kinsoku/>
        <w:wordWrap/>
        <w:overflowPunct/>
        <w:topLinePunct w:val="0"/>
        <w:autoSpaceDE/>
        <w:autoSpaceDN/>
        <w:bidi w:val="0"/>
        <w:adjustRightInd/>
        <w:spacing w:line="400" w:lineRule="exact"/>
        <w:jc w:val="left"/>
        <w:outlineLvl w:val="9"/>
        <w:rPr>
          <w:rFonts w:cs="宋体" w:asciiTheme="minorEastAsia" w:hAnsiTheme="minorEastAsia"/>
          <w:b/>
          <w:bCs/>
          <w:kern w:val="0"/>
          <w:szCs w:val="21"/>
        </w:rPr>
      </w:pPr>
      <w:r>
        <w:rPr>
          <w:rFonts w:hint="eastAsia" w:cs="宋体" w:asciiTheme="minorEastAsia" w:hAnsiTheme="minorEastAsia"/>
          <w:b/>
          <w:bCs/>
          <w:kern w:val="0"/>
          <w:szCs w:val="21"/>
        </w:rPr>
        <w:t>一、报价情况：</w:t>
      </w:r>
    </w:p>
    <w:tbl>
      <w:tblPr>
        <w:tblStyle w:val="6"/>
        <w:tblW w:w="8600"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878"/>
        <w:gridCol w:w="2403"/>
        <w:gridCol w:w="1802"/>
        <w:gridCol w:w="1320"/>
        <w:gridCol w:w="2197"/>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cantSplit/>
          <w:trHeight w:val="560" w:hRule="atLeast"/>
          <w:jc w:val="center"/>
        </w:trPr>
        <w:tc>
          <w:tcPr>
            <w:tcW w:w="87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outlineLvl w:val="9"/>
              <w:rPr>
                <w:rFonts w:ascii="宋体" w:hAnsi="宋体" w:eastAsia="宋体" w:cs="Helvetica"/>
                <w:szCs w:val="21"/>
              </w:rPr>
            </w:pPr>
            <w:r>
              <w:rPr>
                <w:rFonts w:hint="eastAsia" w:ascii="宋体" w:hAnsi="宋体"/>
                <w:b/>
                <w:bCs/>
                <w:kern w:val="0"/>
              </w:rPr>
              <w:t>序号</w:t>
            </w:r>
          </w:p>
        </w:tc>
        <w:tc>
          <w:tcPr>
            <w:tcW w:w="2403"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outlineLvl w:val="9"/>
              <w:rPr>
                <w:rFonts w:ascii="宋体" w:hAnsi="宋体" w:cs="Helvetica"/>
                <w:bCs/>
              </w:rPr>
            </w:pPr>
            <w:r>
              <w:rPr>
                <w:rFonts w:hint="eastAsia" w:ascii="宋体" w:hAnsi="宋体"/>
                <w:b/>
                <w:bCs/>
                <w:kern w:val="0"/>
              </w:rPr>
              <w:t>供应商名称</w:t>
            </w:r>
          </w:p>
        </w:tc>
        <w:tc>
          <w:tcPr>
            <w:tcW w:w="1802"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outlineLvl w:val="9"/>
              <w:rPr>
                <w:rFonts w:ascii="宋体" w:hAnsi="宋体" w:cs="Times New Roman"/>
                <w:kern w:val="0"/>
              </w:rPr>
            </w:pPr>
            <w:r>
              <w:rPr>
                <w:rFonts w:hint="eastAsia" w:ascii="宋体" w:hAnsi="宋体"/>
                <w:b/>
                <w:bCs/>
                <w:kern w:val="0"/>
              </w:rPr>
              <w:t>最终报价折扣率</w:t>
            </w:r>
          </w:p>
        </w:tc>
        <w:tc>
          <w:tcPr>
            <w:tcW w:w="1320"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outlineLvl w:val="9"/>
              <w:rPr>
                <w:rFonts w:ascii="宋体" w:hAnsi="宋体"/>
                <w:bCs/>
                <w:kern w:val="0"/>
              </w:rPr>
            </w:pPr>
            <w:r>
              <w:rPr>
                <w:rFonts w:hint="eastAsia" w:ascii="宋体" w:hAnsi="宋体"/>
                <w:b/>
                <w:bCs/>
                <w:kern w:val="0"/>
              </w:rPr>
              <w:t>排名</w:t>
            </w:r>
          </w:p>
        </w:tc>
        <w:tc>
          <w:tcPr>
            <w:tcW w:w="2197"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outlineLvl w:val="9"/>
              <w:rPr>
                <w:rFonts w:ascii="宋体" w:hAnsi="宋体"/>
                <w:b/>
                <w:bCs/>
                <w:kern w:val="0"/>
              </w:rPr>
            </w:pPr>
            <w:r>
              <w:rPr>
                <w:rFonts w:hint="eastAsia" w:ascii="宋体" w:hAnsi="宋体"/>
                <w:b/>
                <w:bCs/>
                <w:kern w:val="0"/>
              </w:rPr>
              <w:t>备注</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1209" w:hRule="atLeast"/>
          <w:jc w:val="center"/>
        </w:trPr>
        <w:tc>
          <w:tcPr>
            <w:tcW w:w="87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outlineLvl w:val="9"/>
              <w:rPr>
                <w:rFonts w:ascii="宋体" w:hAnsi="宋体"/>
                <w:b/>
                <w:bCs/>
                <w:kern w:val="0"/>
              </w:rPr>
            </w:pPr>
            <w:r>
              <w:rPr>
                <w:rFonts w:hint="eastAsia" w:ascii="宋体" w:hAnsi="宋体"/>
                <w:kern w:val="0"/>
              </w:rPr>
              <w:t>1</w:t>
            </w:r>
          </w:p>
        </w:tc>
        <w:tc>
          <w:tcPr>
            <w:tcW w:w="2403"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both"/>
              <w:textAlignment w:val="center"/>
              <w:outlineLvl w:val="9"/>
              <w:rPr>
                <w:rFonts w:ascii="宋体" w:hAnsi="宋体"/>
                <w:b/>
                <w:bCs/>
                <w:kern w:val="0"/>
              </w:rPr>
            </w:pPr>
            <w:r>
              <w:rPr>
                <w:rFonts w:hint="eastAsia" w:ascii="宋体" w:hAnsi="宋体"/>
                <w:kern w:val="0"/>
              </w:rPr>
              <w:t>广州市白云区永平鸿创贸易商行 (个体工商户)</w:t>
            </w:r>
          </w:p>
        </w:tc>
        <w:tc>
          <w:tcPr>
            <w:tcW w:w="1802"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outlineLvl w:val="9"/>
              <w:rPr>
                <w:rFonts w:ascii="宋体" w:hAnsi="宋体"/>
                <w:kern w:val="0"/>
              </w:rPr>
            </w:pPr>
            <w:r>
              <w:rPr>
                <w:rFonts w:hint="eastAsia" w:ascii="宋体" w:hAnsi="宋体"/>
                <w:kern w:val="0"/>
              </w:rPr>
              <w:t>0.63%</w:t>
            </w:r>
          </w:p>
        </w:tc>
        <w:tc>
          <w:tcPr>
            <w:tcW w:w="1320"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outlineLvl w:val="9"/>
              <w:rPr>
                <w:rFonts w:ascii="宋体" w:hAnsi="宋体"/>
                <w:bCs/>
                <w:kern w:val="0"/>
              </w:rPr>
            </w:pPr>
            <w:r>
              <w:rPr>
                <w:rFonts w:hint="eastAsia" w:ascii="宋体" w:hAnsi="宋体"/>
                <w:bCs/>
                <w:kern w:val="0"/>
              </w:rPr>
              <w:t>\</w:t>
            </w:r>
          </w:p>
        </w:tc>
        <w:tc>
          <w:tcPr>
            <w:tcW w:w="2197"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outlineLvl w:val="9"/>
              <w:rPr>
                <w:rFonts w:ascii="宋体" w:hAnsi="宋体"/>
                <w:b/>
                <w:bCs/>
                <w:kern w:val="0"/>
              </w:rPr>
            </w:pPr>
            <w:r>
              <w:rPr>
                <w:rFonts w:hint="eastAsia" w:ascii="宋体" w:hAnsi="宋体"/>
                <w:kern w:val="0"/>
              </w:rPr>
              <w:t>在竞价系统中所报价格与上传的报价文件不一致，按无效报价处理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873" w:hRule="atLeast"/>
          <w:jc w:val="center"/>
        </w:trPr>
        <w:tc>
          <w:tcPr>
            <w:tcW w:w="87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outlineLvl w:val="9"/>
              <w:rPr>
                <w:rFonts w:ascii="宋体" w:hAnsi="宋体"/>
                <w:kern w:val="0"/>
              </w:rPr>
            </w:pPr>
            <w:r>
              <w:rPr>
                <w:rFonts w:hint="eastAsia" w:ascii="宋体" w:hAnsi="宋体"/>
                <w:kern w:val="0"/>
              </w:rPr>
              <w:t>2</w:t>
            </w:r>
          </w:p>
        </w:tc>
        <w:tc>
          <w:tcPr>
            <w:tcW w:w="2403"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both"/>
              <w:textAlignment w:val="center"/>
              <w:outlineLvl w:val="9"/>
              <w:rPr>
                <w:rFonts w:hint="eastAsia" w:ascii="宋体" w:hAnsi="宋体"/>
                <w:kern w:val="0"/>
              </w:rPr>
            </w:pPr>
            <w:r>
              <w:rPr>
                <w:rFonts w:hint="eastAsia" w:ascii="宋体" w:hAnsi="宋体"/>
                <w:kern w:val="0"/>
              </w:rPr>
              <w:t>广东骏晟商贸有限公司</w:t>
            </w:r>
          </w:p>
        </w:tc>
        <w:tc>
          <w:tcPr>
            <w:tcW w:w="1802"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outlineLvl w:val="9"/>
              <w:rPr>
                <w:rFonts w:ascii="宋体" w:hAnsi="宋体"/>
                <w:kern w:val="0"/>
              </w:rPr>
            </w:pPr>
            <w:r>
              <w:rPr>
                <w:rFonts w:hint="eastAsia" w:ascii="宋体" w:hAnsi="宋体"/>
                <w:kern w:val="0"/>
              </w:rPr>
              <w:t>53.95%</w:t>
            </w:r>
          </w:p>
        </w:tc>
        <w:tc>
          <w:tcPr>
            <w:tcW w:w="1320"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outlineLvl w:val="9"/>
              <w:rPr>
                <w:rFonts w:ascii="宋体" w:hAnsi="宋体"/>
                <w:kern w:val="0"/>
              </w:rPr>
            </w:pPr>
            <w:r>
              <w:rPr>
                <w:rFonts w:hint="eastAsia" w:ascii="宋体" w:hAnsi="宋体"/>
                <w:kern w:val="0"/>
              </w:rPr>
              <w:t>1</w:t>
            </w:r>
          </w:p>
        </w:tc>
        <w:tc>
          <w:tcPr>
            <w:tcW w:w="2197" w:type="dxa"/>
            <w:tcBorders>
              <w:top w:val="single" w:color="000000" w:sz="8" w:space="0"/>
              <w:left w:val="nil"/>
              <w:bottom w:val="single" w:color="000000" w:sz="8" w:space="0"/>
              <w:right w:val="single" w:color="000000" w:sz="8" w:space="0"/>
            </w:tcBorders>
          </w:tcPr>
          <w:p>
            <w:pPr>
              <w:keepNext w:val="0"/>
              <w:keepLines w:val="0"/>
              <w:pageBreakBefore w:val="0"/>
              <w:widowControl/>
              <w:kinsoku/>
              <w:wordWrap/>
              <w:overflowPunct/>
              <w:topLinePunct w:val="0"/>
              <w:autoSpaceDE/>
              <w:autoSpaceDN/>
              <w:bidi w:val="0"/>
              <w:adjustRightInd/>
              <w:spacing w:line="400" w:lineRule="exact"/>
              <w:outlineLvl w:val="9"/>
              <w:rPr>
                <w:rFonts w:ascii="宋体" w:hAnsi="宋体"/>
                <w:kern w:val="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873" w:hRule="atLeast"/>
          <w:jc w:val="center"/>
        </w:trPr>
        <w:tc>
          <w:tcPr>
            <w:tcW w:w="87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outlineLvl w:val="9"/>
              <w:rPr>
                <w:rFonts w:ascii="宋体" w:hAnsi="宋体"/>
                <w:kern w:val="0"/>
              </w:rPr>
            </w:pPr>
            <w:r>
              <w:rPr>
                <w:rFonts w:hint="eastAsia" w:ascii="宋体" w:hAnsi="宋体"/>
                <w:kern w:val="0"/>
              </w:rPr>
              <w:t>3</w:t>
            </w:r>
          </w:p>
        </w:tc>
        <w:tc>
          <w:tcPr>
            <w:tcW w:w="2403"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both"/>
              <w:textAlignment w:val="center"/>
              <w:outlineLvl w:val="9"/>
              <w:rPr>
                <w:rFonts w:hint="eastAsia" w:ascii="宋体" w:hAnsi="宋体"/>
                <w:kern w:val="0"/>
              </w:rPr>
            </w:pPr>
            <w:r>
              <w:rPr>
                <w:rFonts w:hint="eastAsia" w:ascii="宋体" w:hAnsi="宋体"/>
                <w:kern w:val="0"/>
              </w:rPr>
              <w:t>河源市源城区百年鸿运家居馆</w:t>
            </w:r>
          </w:p>
        </w:tc>
        <w:tc>
          <w:tcPr>
            <w:tcW w:w="1802"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outlineLvl w:val="9"/>
              <w:rPr>
                <w:rFonts w:ascii="宋体" w:hAnsi="宋体"/>
                <w:kern w:val="0"/>
              </w:rPr>
            </w:pPr>
            <w:r>
              <w:rPr>
                <w:rFonts w:hint="eastAsia" w:ascii="宋体" w:hAnsi="宋体"/>
                <w:kern w:val="0"/>
              </w:rPr>
              <w:t>61.8%</w:t>
            </w:r>
          </w:p>
        </w:tc>
        <w:tc>
          <w:tcPr>
            <w:tcW w:w="1320"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outlineLvl w:val="9"/>
              <w:rPr>
                <w:rFonts w:ascii="宋体" w:hAnsi="宋体"/>
                <w:kern w:val="0"/>
              </w:rPr>
            </w:pPr>
            <w:r>
              <w:rPr>
                <w:rFonts w:hint="eastAsia" w:ascii="宋体" w:hAnsi="宋体"/>
                <w:kern w:val="0"/>
              </w:rPr>
              <w:t>2</w:t>
            </w:r>
          </w:p>
        </w:tc>
        <w:tc>
          <w:tcPr>
            <w:tcW w:w="2197" w:type="dxa"/>
            <w:tcBorders>
              <w:top w:val="single" w:color="000000" w:sz="8" w:space="0"/>
              <w:left w:val="nil"/>
              <w:bottom w:val="single" w:color="000000" w:sz="8" w:space="0"/>
              <w:right w:val="single" w:color="000000" w:sz="8" w:space="0"/>
            </w:tcBorders>
          </w:tcPr>
          <w:p>
            <w:pPr>
              <w:keepNext w:val="0"/>
              <w:keepLines w:val="0"/>
              <w:pageBreakBefore w:val="0"/>
              <w:widowControl/>
              <w:kinsoku/>
              <w:wordWrap/>
              <w:overflowPunct/>
              <w:topLinePunct w:val="0"/>
              <w:autoSpaceDE/>
              <w:autoSpaceDN/>
              <w:bidi w:val="0"/>
              <w:adjustRightInd/>
              <w:spacing w:line="400" w:lineRule="exact"/>
              <w:outlineLvl w:val="9"/>
              <w:rPr>
                <w:rFonts w:ascii="宋体" w:hAnsi="宋体"/>
                <w:kern w:val="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873" w:hRule="atLeast"/>
          <w:jc w:val="center"/>
        </w:trPr>
        <w:tc>
          <w:tcPr>
            <w:tcW w:w="87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outlineLvl w:val="9"/>
              <w:rPr>
                <w:rFonts w:ascii="宋体" w:hAnsi="宋体"/>
                <w:kern w:val="0"/>
              </w:rPr>
            </w:pPr>
            <w:r>
              <w:rPr>
                <w:rFonts w:hint="eastAsia" w:ascii="宋体" w:hAnsi="宋体"/>
                <w:kern w:val="0"/>
              </w:rPr>
              <w:t>4</w:t>
            </w:r>
          </w:p>
        </w:tc>
        <w:tc>
          <w:tcPr>
            <w:tcW w:w="2403"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both"/>
              <w:textAlignment w:val="center"/>
              <w:outlineLvl w:val="9"/>
              <w:rPr>
                <w:rFonts w:hint="eastAsia" w:ascii="宋体" w:hAnsi="宋体"/>
                <w:kern w:val="0"/>
              </w:rPr>
            </w:pPr>
            <w:r>
              <w:rPr>
                <w:rFonts w:hint="eastAsia" w:ascii="宋体" w:hAnsi="宋体"/>
                <w:kern w:val="0"/>
              </w:rPr>
              <w:t>中山市精汇广告制作有限公司</w:t>
            </w:r>
          </w:p>
        </w:tc>
        <w:tc>
          <w:tcPr>
            <w:tcW w:w="1802"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outlineLvl w:val="9"/>
              <w:rPr>
                <w:rFonts w:ascii="宋体" w:hAnsi="宋体" w:cs="Times New Roman"/>
                <w:kern w:val="0"/>
              </w:rPr>
            </w:pPr>
            <w:r>
              <w:rPr>
                <w:rFonts w:hint="eastAsia" w:ascii="宋体" w:hAnsi="宋体"/>
                <w:kern w:val="0"/>
              </w:rPr>
              <w:t>64.3%</w:t>
            </w:r>
          </w:p>
        </w:tc>
        <w:tc>
          <w:tcPr>
            <w:tcW w:w="1320"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outlineLvl w:val="9"/>
              <w:rPr>
                <w:rFonts w:ascii="宋体" w:hAnsi="宋体"/>
                <w:kern w:val="0"/>
              </w:rPr>
            </w:pPr>
            <w:r>
              <w:rPr>
                <w:rFonts w:hint="eastAsia" w:ascii="宋体" w:hAnsi="宋体"/>
                <w:kern w:val="0"/>
              </w:rPr>
              <w:t>3</w:t>
            </w:r>
          </w:p>
        </w:tc>
        <w:tc>
          <w:tcPr>
            <w:tcW w:w="2197" w:type="dxa"/>
            <w:tcBorders>
              <w:top w:val="single" w:color="000000" w:sz="8" w:space="0"/>
              <w:left w:val="nil"/>
              <w:bottom w:val="single" w:color="000000" w:sz="8" w:space="0"/>
              <w:right w:val="single" w:color="000000" w:sz="8" w:space="0"/>
            </w:tcBorders>
          </w:tcPr>
          <w:p>
            <w:pPr>
              <w:keepNext w:val="0"/>
              <w:keepLines w:val="0"/>
              <w:pageBreakBefore w:val="0"/>
              <w:widowControl/>
              <w:kinsoku/>
              <w:wordWrap/>
              <w:overflowPunct/>
              <w:topLinePunct w:val="0"/>
              <w:autoSpaceDE/>
              <w:autoSpaceDN/>
              <w:bidi w:val="0"/>
              <w:adjustRightInd/>
              <w:spacing w:line="400" w:lineRule="exact"/>
              <w:outlineLvl w:val="9"/>
              <w:rPr>
                <w:rFonts w:ascii="宋体" w:hAnsi="宋体"/>
                <w:kern w:val="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1605" w:hRule="atLeast"/>
          <w:jc w:val="center"/>
        </w:trPr>
        <w:tc>
          <w:tcPr>
            <w:tcW w:w="87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outlineLvl w:val="9"/>
              <w:rPr>
                <w:rFonts w:ascii="宋体" w:hAnsi="宋体" w:cs="Helvetica"/>
              </w:rPr>
            </w:pPr>
            <w:r>
              <w:rPr>
                <w:rFonts w:hint="eastAsia" w:ascii="宋体" w:hAnsi="宋体"/>
                <w:kern w:val="0"/>
              </w:rPr>
              <w:t>5</w:t>
            </w:r>
          </w:p>
        </w:tc>
        <w:tc>
          <w:tcPr>
            <w:tcW w:w="2403"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both"/>
              <w:textAlignment w:val="center"/>
              <w:outlineLvl w:val="9"/>
              <w:rPr>
                <w:rFonts w:hint="eastAsia" w:ascii="宋体" w:hAnsi="宋体"/>
                <w:kern w:val="0"/>
              </w:rPr>
            </w:pPr>
            <w:r>
              <w:rPr>
                <w:rFonts w:hint="eastAsia" w:ascii="宋体" w:hAnsi="宋体"/>
                <w:kern w:val="0"/>
              </w:rPr>
              <w:t>河源市源城区金米雅百货批发经销部</w:t>
            </w:r>
          </w:p>
        </w:tc>
        <w:tc>
          <w:tcPr>
            <w:tcW w:w="1802"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outlineLvl w:val="9"/>
              <w:rPr>
                <w:rFonts w:ascii="宋体" w:hAnsi="宋体" w:cs="Times New Roman"/>
                <w:kern w:val="0"/>
              </w:rPr>
            </w:pPr>
            <w:r>
              <w:rPr>
                <w:rFonts w:hint="eastAsia" w:ascii="宋体" w:hAnsi="宋体"/>
                <w:kern w:val="0"/>
              </w:rPr>
              <w:t>65%</w:t>
            </w:r>
          </w:p>
        </w:tc>
        <w:tc>
          <w:tcPr>
            <w:tcW w:w="1320"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outlineLvl w:val="9"/>
              <w:rPr>
                <w:rFonts w:ascii="宋体" w:hAnsi="宋体"/>
                <w:kern w:val="0"/>
              </w:rPr>
            </w:pPr>
            <w:r>
              <w:rPr>
                <w:rFonts w:hint="eastAsia" w:ascii="宋体" w:hAnsi="宋体"/>
                <w:kern w:val="0"/>
              </w:rPr>
              <w:t>\</w:t>
            </w:r>
          </w:p>
        </w:tc>
        <w:tc>
          <w:tcPr>
            <w:tcW w:w="2197" w:type="dxa"/>
            <w:tcBorders>
              <w:top w:val="single" w:color="000000" w:sz="8" w:space="0"/>
              <w:left w:val="nil"/>
              <w:bottom w:val="single" w:color="000000" w:sz="8" w:space="0"/>
              <w:right w:val="single" w:color="000000" w:sz="8" w:space="0"/>
            </w:tcBorders>
          </w:tcPr>
          <w:p>
            <w:pPr>
              <w:keepNext w:val="0"/>
              <w:keepLines w:val="0"/>
              <w:pageBreakBefore w:val="0"/>
              <w:widowControl/>
              <w:kinsoku/>
              <w:wordWrap/>
              <w:overflowPunct/>
              <w:topLinePunct w:val="0"/>
              <w:autoSpaceDE/>
              <w:autoSpaceDN/>
              <w:bidi w:val="0"/>
              <w:adjustRightInd/>
              <w:spacing w:line="400" w:lineRule="exact"/>
              <w:outlineLvl w:val="9"/>
              <w:rPr>
                <w:rFonts w:ascii="宋体" w:hAnsi="宋体"/>
                <w:kern w:val="0"/>
              </w:rPr>
            </w:pPr>
            <w:r>
              <w:rPr>
                <w:rFonts w:hint="eastAsia" w:ascii="宋体" w:hAnsi="宋体"/>
                <w:kern w:val="0"/>
              </w:rPr>
              <w:t>上传的报价文件报价总表中法定代表人或授权代表签字处未手写签名，按无效报价处理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873" w:hRule="atLeast"/>
          <w:jc w:val="center"/>
        </w:trPr>
        <w:tc>
          <w:tcPr>
            <w:tcW w:w="87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outlineLvl w:val="9"/>
              <w:rPr>
                <w:rFonts w:ascii="宋体" w:hAnsi="宋体" w:cs="Helvetica"/>
              </w:rPr>
            </w:pPr>
            <w:r>
              <w:rPr>
                <w:rFonts w:hint="eastAsia" w:ascii="宋体" w:hAnsi="宋体"/>
                <w:kern w:val="0"/>
              </w:rPr>
              <w:t>6</w:t>
            </w:r>
          </w:p>
        </w:tc>
        <w:tc>
          <w:tcPr>
            <w:tcW w:w="2403"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both"/>
              <w:textAlignment w:val="center"/>
              <w:outlineLvl w:val="9"/>
              <w:rPr>
                <w:rFonts w:hint="eastAsia" w:ascii="宋体" w:hAnsi="宋体"/>
                <w:kern w:val="0"/>
              </w:rPr>
            </w:pPr>
            <w:r>
              <w:rPr>
                <w:rFonts w:hint="eastAsia" w:ascii="宋体" w:hAnsi="宋体"/>
                <w:kern w:val="0"/>
              </w:rPr>
              <w:t>译新（广州）教育投资有限公司</w:t>
            </w:r>
          </w:p>
        </w:tc>
        <w:tc>
          <w:tcPr>
            <w:tcW w:w="1802"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outlineLvl w:val="9"/>
              <w:rPr>
                <w:rFonts w:ascii="宋体" w:hAnsi="宋体" w:cs="Times New Roman"/>
                <w:kern w:val="0"/>
              </w:rPr>
            </w:pPr>
            <w:r>
              <w:rPr>
                <w:rFonts w:hint="eastAsia" w:ascii="宋体" w:hAnsi="宋体"/>
                <w:kern w:val="0"/>
              </w:rPr>
              <w:t>67%</w:t>
            </w:r>
          </w:p>
        </w:tc>
        <w:tc>
          <w:tcPr>
            <w:tcW w:w="1320"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outlineLvl w:val="9"/>
              <w:rPr>
                <w:rFonts w:ascii="宋体" w:hAnsi="宋体"/>
                <w:kern w:val="0"/>
              </w:rPr>
            </w:pPr>
            <w:r>
              <w:rPr>
                <w:rFonts w:hint="eastAsia" w:ascii="宋体" w:hAnsi="宋体"/>
                <w:kern w:val="0"/>
              </w:rPr>
              <w:t>4</w:t>
            </w:r>
          </w:p>
        </w:tc>
        <w:tc>
          <w:tcPr>
            <w:tcW w:w="2197" w:type="dxa"/>
            <w:tcBorders>
              <w:top w:val="single" w:color="000000" w:sz="8" w:space="0"/>
              <w:left w:val="nil"/>
              <w:bottom w:val="single" w:color="000000" w:sz="8" w:space="0"/>
              <w:right w:val="single" w:color="000000" w:sz="8" w:space="0"/>
            </w:tcBorders>
          </w:tcPr>
          <w:p>
            <w:pPr>
              <w:keepNext w:val="0"/>
              <w:keepLines w:val="0"/>
              <w:pageBreakBefore w:val="0"/>
              <w:widowControl/>
              <w:kinsoku/>
              <w:wordWrap/>
              <w:overflowPunct/>
              <w:topLinePunct w:val="0"/>
              <w:autoSpaceDE/>
              <w:autoSpaceDN/>
              <w:bidi w:val="0"/>
              <w:adjustRightInd/>
              <w:spacing w:line="400" w:lineRule="exact"/>
              <w:outlineLvl w:val="9"/>
              <w:rPr>
                <w:rFonts w:ascii="宋体" w:hAnsi="宋体"/>
                <w:kern w:val="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873" w:hRule="atLeast"/>
          <w:jc w:val="center"/>
        </w:trPr>
        <w:tc>
          <w:tcPr>
            <w:tcW w:w="87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outlineLvl w:val="9"/>
              <w:rPr>
                <w:rFonts w:ascii="宋体" w:hAnsi="宋体" w:cs="Helvetica"/>
              </w:rPr>
            </w:pPr>
            <w:r>
              <w:rPr>
                <w:rFonts w:hint="eastAsia" w:ascii="宋体" w:hAnsi="宋体"/>
                <w:kern w:val="0"/>
              </w:rPr>
              <w:t>7</w:t>
            </w:r>
          </w:p>
        </w:tc>
        <w:tc>
          <w:tcPr>
            <w:tcW w:w="2403"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both"/>
              <w:textAlignment w:val="center"/>
              <w:outlineLvl w:val="9"/>
              <w:rPr>
                <w:rFonts w:hint="eastAsia" w:ascii="宋体" w:hAnsi="宋体"/>
                <w:kern w:val="0"/>
              </w:rPr>
            </w:pPr>
            <w:r>
              <w:rPr>
                <w:rFonts w:hint="eastAsia" w:ascii="宋体" w:hAnsi="宋体"/>
                <w:kern w:val="0"/>
              </w:rPr>
              <w:t>河源市源城区胜于蓝商贸中心</w:t>
            </w:r>
          </w:p>
        </w:tc>
        <w:tc>
          <w:tcPr>
            <w:tcW w:w="1802"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outlineLvl w:val="9"/>
              <w:rPr>
                <w:rFonts w:ascii="宋体" w:hAnsi="宋体" w:cs="Times New Roman"/>
                <w:kern w:val="0"/>
              </w:rPr>
            </w:pPr>
            <w:r>
              <w:rPr>
                <w:rFonts w:hint="eastAsia" w:ascii="宋体" w:hAnsi="宋体"/>
                <w:kern w:val="0"/>
              </w:rPr>
              <w:t>69.5%</w:t>
            </w:r>
          </w:p>
        </w:tc>
        <w:tc>
          <w:tcPr>
            <w:tcW w:w="1320"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outlineLvl w:val="9"/>
              <w:rPr>
                <w:rFonts w:ascii="宋体" w:hAnsi="宋体"/>
                <w:kern w:val="0"/>
              </w:rPr>
            </w:pPr>
            <w:r>
              <w:rPr>
                <w:rFonts w:hint="eastAsia" w:ascii="宋体" w:hAnsi="宋体"/>
                <w:kern w:val="0"/>
              </w:rPr>
              <w:t>5</w:t>
            </w:r>
          </w:p>
        </w:tc>
        <w:tc>
          <w:tcPr>
            <w:tcW w:w="2197" w:type="dxa"/>
            <w:tcBorders>
              <w:top w:val="single" w:color="000000" w:sz="8" w:space="0"/>
              <w:left w:val="nil"/>
              <w:bottom w:val="single" w:color="000000" w:sz="8" w:space="0"/>
              <w:right w:val="single" w:color="000000" w:sz="8" w:space="0"/>
            </w:tcBorders>
          </w:tcPr>
          <w:p>
            <w:pPr>
              <w:keepNext w:val="0"/>
              <w:keepLines w:val="0"/>
              <w:pageBreakBefore w:val="0"/>
              <w:widowControl/>
              <w:kinsoku/>
              <w:wordWrap/>
              <w:overflowPunct/>
              <w:topLinePunct w:val="0"/>
              <w:autoSpaceDE/>
              <w:autoSpaceDN/>
              <w:bidi w:val="0"/>
              <w:adjustRightInd/>
              <w:spacing w:line="400" w:lineRule="exact"/>
              <w:outlineLvl w:val="9"/>
              <w:rPr>
                <w:rFonts w:ascii="宋体" w:hAnsi="宋体"/>
                <w:kern w:val="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873" w:hRule="atLeast"/>
          <w:jc w:val="center"/>
        </w:trPr>
        <w:tc>
          <w:tcPr>
            <w:tcW w:w="87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outlineLvl w:val="9"/>
              <w:rPr>
                <w:rFonts w:ascii="宋体" w:hAnsi="宋体" w:cs="Helvetica"/>
              </w:rPr>
            </w:pPr>
            <w:r>
              <w:rPr>
                <w:rFonts w:hint="eastAsia" w:ascii="宋体" w:hAnsi="宋体"/>
                <w:kern w:val="0"/>
              </w:rPr>
              <w:t>8</w:t>
            </w:r>
          </w:p>
        </w:tc>
        <w:tc>
          <w:tcPr>
            <w:tcW w:w="2403"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both"/>
              <w:textAlignment w:val="center"/>
              <w:outlineLvl w:val="9"/>
              <w:rPr>
                <w:rFonts w:hint="eastAsia" w:ascii="宋体" w:hAnsi="宋体"/>
                <w:kern w:val="0"/>
              </w:rPr>
            </w:pPr>
            <w:r>
              <w:rPr>
                <w:rFonts w:hint="eastAsia" w:ascii="宋体" w:hAnsi="宋体"/>
                <w:kern w:val="0"/>
              </w:rPr>
              <w:t>广州玮宜科技发展有限公司</w:t>
            </w:r>
          </w:p>
        </w:tc>
        <w:tc>
          <w:tcPr>
            <w:tcW w:w="1802"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outlineLvl w:val="9"/>
              <w:rPr>
                <w:rFonts w:ascii="宋体" w:hAnsi="宋体" w:cs="Times New Roman"/>
                <w:kern w:val="0"/>
              </w:rPr>
            </w:pPr>
            <w:r>
              <w:rPr>
                <w:rFonts w:hint="eastAsia" w:ascii="宋体" w:hAnsi="宋体"/>
                <w:kern w:val="0"/>
              </w:rPr>
              <w:t>73%</w:t>
            </w:r>
          </w:p>
        </w:tc>
        <w:tc>
          <w:tcPr>
            <w:tcW w:w="1320"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outlineLvl w:val="9"/>
              <w:rPr>
                <w:rFonts w:ascii="宋体" w:hAnsi="宋体"/>
                <w:kern w:val="0"/>
              </w:rPr>
            </w:pPr>
            <w:r>
              <w:rPr>
                <w:rFonts w:hint="eastAsia" w:ascii="宋体" w:hAnsi="宋体"/>
                <w:kern w:val="0"/>
              </w:rPr>
              <w:t>6</w:t>
            </w:r>
          </w:p>
        </w:tc>
        <w:tc>
          <w:tcPr>
            <w:tcW w:w="2197" w:type="dxa"/>
            <w:tcBorders>
              <w:top w:val="single" w:color="000000" w:sz="8" w:space="0"/>
              <w:left w:val="nil"/>
              <w:bottom w:val="single" w:color="000000" w:sz="8" w:space="0"/>
              <w:right w:val="single" w:color="000000" w:sz="8" w:space="0"/>
            </w:tcBorders>
          </w:tcPr>
          <w:p>
            <w:pPr>
              <w:keepNext w:val="0"/>
              <w:keepLines w:val="0"/>
              <w:pageBreakBefore w:val="0"/>
              <w:widowControl/>
              <w:kinsoku/>
              <w:wordWrap/>
              <w:overflowPunct/>
              <w:topLinePunct w:val="0"/>
              <w:autoSpaceDE/>
              <w:autoSpaceDN/>
              <w:bidi w:val="0"/>
              <w:adjustRightInd/>
              <w:spacing w:line="400" w:lineRule="exact"/>
              <w:outlineLvl w:val="9"/>
              <w:rPr>
                <w:rFonts w:ascii="宋体" w:hAnsi="宋体"/>
                <w:kern w:val="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873" w:hRule="atLeast"/>
          <w:jc w:val="center"/>
        </w:trPr>
        <w:tc>
          <w:tcPr>
            <w:tcW w:w="87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outlineLvl w:val="9"/>
              <w:rPr>
                <w:rFonts w:ascii="宋体" w:hAnsi="宋体" w:cs="Helvetica"/>
              </w:rPr>
            </w:pPr>
            <w:r>
              <w:rPr>
                <w:rFonts w:hint="eastAsia" w:ascii="宋体" w:hAnsi="宋体"/>
                <w:kern w:val="0"/>
              </w:rPr>
              <w:t>9</w:t>
            </w:r>
          </w:p>
        </w:tc>
        <w:tc>
          <w:tcPr>
            <w:tcW w:w="2403"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both"/>
              <w:textAlignment w:val="center"/>
              <w:outlineLvl w:val="9"/>
              <w:rPr>
                <w:rFonts w:hint="eastAsia" w:ascii="宋体" w:hAnsi="宋体"/>
                <w:kern w:val="0"/>
              </w:rPr>
            </w:pPr>
            <w:r>
              <w:rPr>
                <w:rFonts w:hint="eastAsia" w:ascii="宋体" w:hAnsi="宋体"/>
                <w:kern w:val="0"/>
              </w:rPr>
              <w:t>广州源美溯科技有限公司</w:t>
            </w:r>
          </w:p>
        </w:tc>
        <w:tc>
          <w:tcPr>
            <w:tcW w:w="1802"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outlineLvl w:val="9"/>
              <w:rPr>
                <w:rFonts w:ascii="宋体" w:hAnsi="宋体" w:cs="Times New Roman"/>
                <w:kern w:val="0"/>
              </w:rPr>
            </w:pPr>
            <w:r>
              <w:rPr>
                <w:rFonts w:hint="eastAsia" w:ascii="宋体" w:hAnsi="宋体"/>
                <w:kern w:val="0"/>
              </w:rPr>
              <w:t>79.8%</w:t>
            </w:r>
          </w:p>
        </w:tc>
        <w:tc>
          <w:tcPr>
            <w:tcW w:w="1320"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outlineLvl w:val="9"/>
              <w:rPr>
                <w:rFonts w:ascii="宋体" w:hAnsi="宋体"/>
                <w:kern w:val="0"/>
              </w:rPr>
            </w:pPr>
            <w:r>
              <w:rPr>
                <w:rFonts w:hint="eastAsia" w:ascii="宋体" w:hAnsi="宋体"/>
                <w:kern w:val="0"/>
              </w:rPr>
              <w:t>7</w:t>
            </w:r>
          </w:p>
        </w:tc>
        <w:tc>
          <w:tcPr>
            <w:tcW w:w="2197" w:type="dxa"/>
            <w:tcBorders>
              <w:top w:val="single" w:color="000000" w:sz="8" w:space="0"/>
              <w:left w:val="nil"/>
              <w:bottom w:val="single" w:color="000000" w:sz="8" w:space="0"/>
              <w:right w:val="single" w:color="000000" w:sz="8" w:space="0"/>
            </w:tcBorders>
          </w:tcPr>
          <w:p>
            <w:pPr>
              <w:keepNext w:val="0"/>
              <w:keepLines w:val="0"/>
              <w:pageBreakBefore w:val="0"/>
              <w:widowControl/>
              <w:kinsoku/>
              <w:wordWrap/>
              <w:overflowPunct/>
              <w:topLinePunct w:val="0"/>
              <w:autoSpaceDE/>
              <w:autoSpaceDN/>
              <w:bidi w:val="0"/>
              <w:adjustRightInd/>
              <w:spacing w:line="400" w:lineRule="exact"/>
              <w:outlineLvl w:val="9"/>
              <w:rPr>
                <w:rFonts w:ascii="宋体" w:hAnsi="宋体"/>
                <w:kern w:val="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873" w:hRule="atLeast"/>
          <w:jc w:val="center"/>
        </w:trPr>
        <w:tc>
          <w:tcPr>
            <w:tcW w:w="87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outlineLvl w:val="9"/>
              <w:rPr>
                <w:rFonts w:ascii="宋体" w:hAnsi="宋体" w:cs="Helvetica"/>
              </w:rPr>
            </w:pPr>
            <w:r>
              <w:rPr>
                <w:rFonts w:hint="eastAsia" w:ascii="宋体" w:hAnsi="宋体"/>
                <w:kern w:val="0"/>
              </w:rPr>
              <w:t>10</w:t>
            </w:r>
          </w:p>
        </w:tc>
        <w:tc>
          <w:tcPr>
            <w:tcW w:w="2403"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both"/>
              <w:textAlignment w:val="center"/>
              <w:outlineLvl w:val="9"/>
              <w:rPr>
                <w:rFonts w:hint="eastAsia" w:ascii="宋体" w:hAnsi="宋体"/>
                <w:kern w:val="0"/>
              </w:rPr>
            </w:pPr>
            <w:r>
              <w:rPr>
                <w:rFonts w:hint="eastAsia" w:ascii="宋体" w:hAnsi="宋体"/>
                <w:kern w:val="0"/>
              </w:rPr>
              <w:t>广东罗宝电子商务有限公司</w:t>
            </w:r>
          </w:p>
        </w:tc>
        <w:tc>
          <w:tcPr>
            <w:tcW w:w="1802"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outlineLvl w:val="9"/>
              <w:rPr>
                <w:rFonts w:ascii="宋体" w:hAnsi="宋体" w:cs="Times New Roman"/>
                <w:kern w:val="0"/>
              </w:rPr>
            </w:pPr>
            <w:r>
              <w:rPr>
                <w:rFonts w:hint="eastAsia" w:ascii="宋体" w:hAnsi="宋体"/>
                <w:kern w:val="0"/>
              </w:rPr>
              <w:t>88%</w:t>
            </w:r>
          </w:p>
        </w:tc>
        <w:tc>
          <w:tcPr>
            <w:tcW w:w="1320"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outlineLvl w:val="9"/>
              <w:rPr>
                <w:rFonts w:ascii="宋体" w:hAnsi="宋体"/>
                <w:kern w:val="0"/>
              </w:rPr>
            </w:pPr>
            <w:r>
              <w:rPr>
                <w:rFonts w:hint="eastAsia" w:ascii="宋体" w:hAnsi="宋体"/>
                <w:kern w:val="0"/>
              </w:rPr>
              <w:t>8</w:t>
            </w:r>
          </w:p>
        </w:tc>
        <w:tc>
          <w:tcPr>
            <w:tcW w:w="2197" w:type="dxa"/>
            <w:tcBorders>
              <w:top w:val="single" w:color="000000" w:sz="8" w:space="0"/>
              <w:left w:val="nil"/>
              <w:bottom w:val="single" w:color="000000" w:sz="8" w:space="0"/>
              <w:right w:val="single" w:color="000000" w:sz="8" w:space="0"/>
            </w:tcBorders>
          </w:tcPr>
          <w:p>
            <w:pPr>
              <w:keepNext w:val="0"/>
              <w:keepLines w:val="0"/>
              <w:pageBreakBefore w:val="0"/>
              <w:widowControl/>
              <w:kinsoku/>
              <w:wordWrap/>
              <w:overflowPunct/>
              <w:topLinePunct w:val="0"/>
              <w:autoSpaceDE/>
              <w:autoSpaceDN/>
              <w:bidi w:val="0"/>
              <w:adjustRightInd/>
              <w:spacing w:line="400" w:lineRule="exact"/>
              <w:outlineLvl w:val="9"/>
              <w:rPr>
                <w:rFonts w:ascii="宋体" w:hAnsi="宋体"/>
                <w:kern w:val="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873" w:hRule="atLeast"/>
          <w:jc w:val="center"/>
        </w:trPr>
        <w:tc>
          <w:tcPr>
            <w:tcW w:w="87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outlineLvl w:val="9"/>
              <w:rPr>
                <w:rFonts w:ascii="宋体" w:hAnsi="宋体" w:cs="Helvetica"/>
              </w:rPr>
            </w:pPr>
            <w:r>
              <w:rPr>
                <w:rFonts w:hint="eastAsia" w:ascii="宋体" w:hAnsi="宋体"/>
                <w:kern w:val="0"/>
              </w:rPr>
              <w:t>11</w:t>
            </w:r>
          </w:p>
        </w:tc>
        <w:tc>
          <w:tcPr>
            <w:tcW w:w="2403"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both"/>
              <w:textAlignment w:val="center"/>
              <w:outlineLvl w:val="9"/>
              <w:rPr>
                <w:rFonts w:hint="eastAsia" w:ascii="宋体" w:hAnsi="宋体"/>
                <w:kern w:val="0"/>
              </w:rPr>
            </w:pPr>
            <w:r>
              <w:rPr>
                <w:rFonts w:hint="eastAsia" w:ascii="宋体" w:hAnsi="宋体"/>
                <w:kern w:val="0"/>
              </w:rPr>
              <w:t>广州彤岚莉贸易有限公司</w:t>
            </w:r>
          </w:p>
        </w:tc>
        <w:tc>
          <w:tcPr>
            <w:tcW w:w="1802"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outlineLvl w:val="9"/>
              <w:rPr>
                <w:rFonts w:ascii="宋体" w:hAnsi="宋体" w:cs="Times New Roman"/>
                <w:kern w:val="0"/>
              </w:rPr>
            </w:pPr>
            <w:r>
              <w:rPr>
                <w:rFonts w:hint="eastAsia" w:ascii="宋体" w:hAnsi="宋体"/>
                <w:kern w:val="0"/>
              </w:rPr>
              <w:t>93%</w:t>
            </w:r>
          </w:p>
        </w:tc>
        <w:tc>
          <w:tcPr>
            <w:tcW w:w="1320"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outlineLvl w:val="9"/>
              <w:rPr>
                <w:rFonts w:ascii="宋体" w:hAnsi="宋体"/>
                <w:kern w:val="0"/>
              </w:rPr>
            </w:pPr>
            <w:r>
              <w:rPr>
                <w:rFonts w:hint="eastAsia" w:ascii="宋体" w:hAnsi="宋体"/>
                <w:kern w:val="0"/>
              </w:rPr>
              <w:t>9</w:t>
            </w:r>
          </w:p>
        </w:tc>
        <w:tc>
          <w:tcPr>
            <w:tcW w:w="2197" w:type="dxa"/>
            <w:tcBorders>
              <w:top w:val="single" w:color="000000" w:sz="8" w:space="0"/>
              <w:left w:val="nil"/>
              <w:bottom w:val="single" w:color="000000" w:sz="8" w:space="0"/>
              <w:right w:val="single" w:color="000000" w:sz="8" w:space="0"/>
            </w:tcBorders>
          </w:tcPr>
          <w:p>
            <w:pPr>
              <w:keepNext w:val="0"/>
              <w:keepLines w:val="0"/>
              <w:pageBreakBefore w:val="0"/>
              <w:widowControl/>
              <w:kinsoku/>
              <w:wordWrap/>
              <w:overflowPunct/>
              <w:topLinePunct w:val="0"/>
              <w:autoSpaceDE/>
              <w:autoSpaceDN/>
              <w:bidi w:val="0"/>
              <w:adjustRightInd/>
              <w:spacing w:line="400" w:lineRule="exact"/>
              <w:outlineLvl w:val="9"/>
              <w:rPr>
                <w:rFonts w:ascii="宋体" w:hAnsi="宋体"/>
                <w:kern w:val="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873" w:hRule="atLeast"/>
          <w:jc w:val="center"/>
        </w:trPr>
        <w:tc>
          <w:tcPr>
            <w:tcW w:w="87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outlineLvl w:val="9"/>
              <w:rPr>
                <w:rFonts w:ascii="宋体" w:hAnsi="宋体" w:cs="Helvetica"/>
              </w:rPr>
            </w:pPr>
            <w:r>
              <w:rPr>
                <w:rFonts w:hint="eastAsia" w:ascii="宋体" w:hAnsi="宋体"/>
                <w:kern w:val="0"/>
              </w:rPr>
              <w:t>12</w:t>
            </w:r>
          </w:p>
        </w:tc>
        <w:tc>
          <w:tcPr>
            <w:tcW w:w="2403"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both"/>
              <w:textAlignment w:val="center"/>
              <w:outlineLvl w:val="9"/>
              <w:rPr>
                <w:rFonts w:hint="eastAsia" w:ascii="宋体" w:hAnsi="宋体"/>
                <w:kern w:val="0"/>
              </w:rPr>
            </w:pPr>
            <w:r>
              <w:rPr>
                <w:rFonts w:hint="eastAsia" w:ascii="宋体" w:hAnsi="宋体"/>
                <w:kern w:val="0"/>
              </w:rPr>
              <w:t>广州领环贸易有限公司</w:t>
            </w:r>
          </w:p>
        </w:tc>
        <w:tc>
          <w:tcPr>
            <w:tcW w:w="1802"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outlineLvl w:val="9"/>
              <w:rPr>
                <w:rFonts w:ascii="宋体" w:hAnsi="宋体" w:cs="Times New Roman"/>
                <w:kern w:val="0"/>
              </w:rPr>
            </w:pPr>
            <w:r>
              <w:rPr>
                <w:rFonts w:hint="eastAsia" w:ascii="宋体" w:hAnsi="宋体"/>
                <w:kern w:val="0"/>
              </w:rPr>
              <w:t>93%</w:t>
            </w:r>
          </w:p>
        </w:tc>
        <w:tc>
          <w:tcPr>
            <w:tcW w:w="1320"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outlineLvl w:val="9"/>
              <w:rPr>
                <w:rFonts w:ascii="宋体" w:hAnsi="宋体"/>
                <w:kern w:val="0"/>
              </w:rPr>
            </w:pPr>
            <w:r>
              <w:rPr>
                <w:rFonts w:hint="eastAsia" w:ascii="宋体" w:hAnsi="宋体"/>
                <w:kern w:val="0"/>
              </w:rPr>
              <w:t>10</w:t>
            </w:r>
          </w:p>
        </w:tc>
        <w:tc>
          <w:tcPr>
            <w:tcW w:w="2197" w:type="dxa"/>
            <w:tcBorders>
              <w:top w:val="single" w:color="000000" w:sz="8" w:space="0"/>
              <w:left w:val="nil"/>
              <w:bottom w:val="single" w:color="000000" w:sz="8" w:space="0"/>
              <w:right w:val="single" w:color="000000" w:sz="8" w:space="0"/>
            </w:tcBorders>
          </w:tcPr>
          <w:p>
            <w:pPr>
              <w:keepNext w:val="0"/>
              <w:keepLines w:val="0"/>
              <w:pageBreakBefore w:val="0"/>
              <w:widowControl/>
              <w:kinsoku/>
              <w:wordWrap/>
              <w:overflowPunct/>
              <w:topLinePunct w:val="0"/>
              <w:autoSpaceDE/>
              <w:autoSpaceDN/>
              <w:bidi w:val="0"/>
              <w:adjustRightInd/>
              <w:spacing w:line="400" w:lineRule="exact"/>
              <w:outlineLvl w:val="9"/>
              <w:rPr>
                <w:rFonts w:ascii="宋体" w:hAnsi="宋体"/>
                <w:kern w:val="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1229" w:hRule="atLeast"/>
          <w:jc w:val="center"/>
        </w:trPr>
        <w:tc>
          <w:tcPr>
            <w:tcW w:w="87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outlineLvl w:val="9"/>
              <w:rPr>
                <w:rFonts w:ascii="宋体" w:hAnsi="宋体" w:cs="Helvetica"/>
              </w:rPr>
            </w:pPr>
            <w:r>
              <w:rPr>
                <w:rFonts w:hint="eastAsia" w:ascii="宋体" w:hAnsi="宋体"/>
                <w:kern w:val="0"/>
              </w:rPr>
              <w:t>13</w:t>
            </w:r>
          </w:p>
        </w:tc>
        <w:tc>
          <w:tcPr>
            <w:tcW w:w="2403"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both"/>
              <w:textAlignment w:val="center"/>
              <w:outlineLvl w:val="9"/>
              <w:rPr>
                <w:rFonts w:ascii="宋体" w:hAnsi="宋体" w:cs="Helvetica"/>
                <w:bCs/>
              </w:rPr>
            </w:pPr>
            <w:r>
              <w:rPr>
                <w:rFonts w:hint="eastAsia" w:ascii="宋体" w:hAnsi="宋体"/>
                <w:kern w:val="0"/>
              </w:rPr>
              <w:t>河源良芯环保科技贸易有限公司</w:t>
            </w:r>
          </w:p>
        </w:tc>
        <w:tc>
          <w:tcPr>
            <w:tcW w:w="1802"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outlineLvl w:val="9"/>
              <w:rPr>
                <w:rFonts w:ascii="宋体" w:hAnsi="宋体" w:cs="Times New Roman"/>
                <w:kern w:val="0"/>
              </w:rPr>
            </w:pPr>
            <w:r>
              <w:rPr>
                <w:rFonts w:hint="eastAsia" w:ascii="宋体" w:hAnsi="宋体"/>
                <w:kern w:val="0"/>
              </w:rPr>
              <w:t>483469%</w:t>
            </w:r>
          </w:p>
        </w:tc>
        <w:tc>
          <w:tcPr>
            <w:tcW w:w="1320"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outlineLvl w:val="9"/>
              <w:rPr>
                <w:rFonts w:ascii="宋体" w:hAnsi="宋体"/>
                <w:kern w:val="0"/>
              </w:rPr>
            </w:pPr>
            <w:r>
              <w:rPr>
                <w:rFonts w:hint="eastAsia" w:ascii="宋体" w:hAnsi="宋体"/>
                <w:kern w:val="0"/>
              </w:rPr>
              <w:t>\</w:t>
            </w:r>
          </w:p>
        </w:tc>
        <w:tc>
          <w:tcPr>
            <w:tcW w:w="2197" w:type="dxa"/>
            <w:tcBorders>
              <w:top w:val="single" w:color="000000" w:sz="8" w:space="0"/>
              <w:left w:val="nil"/>
              <w:bottom w:val="single" w:color="000000" w:sz="8" w:space="0"/>
              <w:right w:val="single" w:color="000000" w:sz="8" w:space="0"/>
            </w:tcBorders>
          </w:tcPr>
          <w:p>
            <w:pPr>
              <w:keepNext w:val="0"/>
              <w:keepLines w:val="0"/>
              <w:pageBreakBefore w:val="0"/>
              <w:widowControl/>
              <w:kinsoku/>
              <w:wordWrap/>
              <w:overflowPunct/>
              <w:topLinePunct w:val="0"/>
              <w:autoSpaceDE/>
              <w:autoSpaceDN/>
              <w:bidi w:val="0"/>
              <w:adjustRightInd/>
              <w:spacing w:line="400" w:lineRule="exact"/>
              <w:outlineLvl w:val="9"/>
              <w:rPr>
                <w:rFonts w:ascii="宋体" w:hAnsi="宋体"/>
                <w:kern w:val="0"/>
              </w:rPr>
            </w:pPr>
            <w:r>
              <w:rPr>
                <w:rFonts w:hint="eastAsia" w:ascii="宋体" w:hAnsi="宋体"/>
                <w:kern w:val="0"/>
              </w:rPr>
              <w:t>未按竞价文件要求进行报价且未上传报价文件，按无效报价处理</w:t>
            </w:r>
          </w:p>
        </w:tc>
      </w:tr>
    </w:tbl>
    <w:p>
      <w:pPr>
        <w:keepNext w:val="0"/>
        <w:keepLines w:val="0"/>
        <w:pageBreakBefore w:val="0"/>
        <w:widowControl/>
        <w:shd w:val="clear" w:color="auto" w:fill="FFFFFF"/>
        <w:kinsoku/>
        <w:wordWrap/>
        <w:overflowPunct/>
        <w:topLinePunct w:val="0"/>
        <w:autoSpaceDE/>
        <w:autoSpaceDN/>
        <w:bidi w:val="0"/>
        <w:adjustRightInd/>
        <w:spacing w:line="400" w:lineRule="exact"/>
        <w:jc w:val="left"/>
        <w:outlineLvl w:val="9"/>
        <w:rPr>
          <w:rFonts w:cs="宋体" w:asciiTheme="minorEastAsia" w:hAnsiTheme="minorEastAsia"/>
          <w:kern w:val="0"/>
          <w:szCs w:val="21"/>
        </w:rPr>
      </w:pPr>
      <w:r>
        <w:rPr>
          <w:rFonts w:hint="eastAsia" w:cs="宋体" w:asciiTheme="minorEastAsia" w:hAnsiTheme="minorEastAsia"/>
          <w:b/>
          <w:bCs/>
          <w:kern w:val="0"/>
          <w:szCs w:val="21"/>
        </w:rPr>
        <w:t>二、成交信息：</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20" w:firstLineChars="200"/>
        <w:jc w:val="left"/>
        <w:outlineLvl w:val="9"/>
        <w:rPr>
          <w:rFonts w:cs="宋体" w:asciiTheme="minorEastAsia" w:hAnsiTheme="minorEastAsia"/>
          <w:kern w:val="0"/>
          <w:szCs w:val="21"/>
        </w:rPr>
      </w:pPr>
      <w:r>
        <w:rPr>
          <w:rFonts w:hint="eastAsia" w:cs="宋体" w:asciiTheme="minorEastAsia" w:hAnsiTheme="minorEastAsia"/>
          <w:kern w:val="0"/>
          <w:szCs w:val="21"/>
        </w:rPr>
        <w:t>成交供应商名称：</w:t>
      </w:r>
      <w:r>
        <w:rPr>
          <w:rFonts w:hint="eastAsia" w:ascii="宋体" w:hAnsi="宋体"/>
          <w:kern w:val="0"/>
        </w:rPr>
        <w:t>广东骏晟商贸有限公司</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20" w:firstLineChars="200"/>
        <w:jc w:val="left"/>
        <w:outlineLvl w:val="9"/>
        <w:rPr>
          <w:rFonts w:cs="宋体" w:asciiTheme="minorEastAsia" w:hAnsiTheme="minorEastAsia"/>
          <w:kern w:val="0"/>
          <w:szCs w:val="21"/>
        </w:rPr>
      </w:pPr>
      <w:r>
        <w:rPr>
          <w:rFonts w:hint="eastAsia" w:cs="宋体" w:asciiTheme="minorEastAsia" w:hAnsiTheme="minorEastAsia"/>
          <w:kern w:val="0"/>
          <w:szCs w:val="21"/>
        </w:rPr>
        <w:t>成交折扣率：</w:t>
      </w:r>
      <w:r>
        <w:rPr>
          <w:rFonts w:hint="eastAsia" w:ascii="宋体" w:hAnsi="宋体"/>
          <w:kern w:val="0"/>
        </w:rPr>
        <w:t>53.95%</w:t>
      </w:r>
    </w:p>
    <w:p>
      <w:pPr>
        <w:keepNext w:val="0"/>
        <w:keepLines w:val="0"/>
        <w:pageBreakBefore w:val="0"/>
        <w:widowControl/>
        <w:shd w:val="clear" w:color="auto" w:fill="FFFFFF"/>
        <w:kinsoku/>
        <w:wordWrap/>
        <w:overflowPunct/>
        <w:topLinePunct w:val="0"/>
        <w:autoSpaceDE/>
        <w:autoSpaceDN/>
        <w:bidi w:val="0"/>
        <w:adjustRightInd/>
        <w:spacing w:line="400" w:lineRule="exact"/>
        <w:jc w:val="left"/>
        <w:outlineLvl w:val="9"/>
        <w:rPr>
          <w:rFonts w:cs="宋体" w:asciiTheme="minorEastAsia" w:hAnsiTheme="minorEastAsia"/>
          <w:kern w:val="0"/>
          <w:szCs w:val="21"/>
        </w:rPr>
      </w:pPr>
      <w:r>
        <w:rPr>
          <w:rFonts w:hint="eastAsia" w:cs="宋体" w:asciiTheme="minorEastAsia" w:hAnsiTheme="minorEastAsia"/>
          <w:b/>
          <w:bCs/>
          <w:kern w:val="0"/>
          <w:szCs w:val="21"/>
        </w:rPr>
        <w:t>三、采购人、采购代理机构的名称、地址和联系方式</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20" w:firstLineChars="200"/>
        <w:jc w:val="left"/>
        <w:outlineLvl w:val="9"/>
        <w:rPr>
          <w:rFonts w:cs="宋体" w:asciiTheme="minorEastAsia" w:hAnsiTheme="minorEastAsia"/>
          <w:kern w:val="0"/>
          <w:szCs w:val="21"/>
        </w:rPr>
      </w:pPr>
      <w:r>
        <w:rPr>
          <w:rFonts w:hint="eastAsia" w:cs="宋体" w:asciiTheme="minorEastAsia" w:hAnsiTheme="minorEastAsia"/>
          <w:kern w:val="0"/>
          <w:szCs w:val="21"/>
        </w:rPr>
        <w:t>1、采购人联系方式</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20" w:firstLineChars="200"/>
        <w:jc w:val="left"/>
        <w:outlineLvl w:val="9"/>
        <w:rPr>
          <w:rFonts w:cs="宋体" w:asciiTheme="minorEastAsia" w:hAnsiTheme="minorEastAsia"/>
          <w:kern w:val="0"/>
          <w:szCs w:val="21"/>
        </w:rPr>
      </w:pPr>
      <w:r>
        <w:rPr>
          <w:rFonts w:hint="eastAsia" w:cs="宋体" w:asciiTheme="minorEastAsia" w:hAnsiTheme="minorEastAsia"/>
          <w:kern w:val="0"/>
          <w:szCs w:val="21"/>
        </w:rPr>
        <w:t>采购人名称：</w:t>
      </w:r>
      <w:r>
        <w:rPr>
          <w:rFonts w:hint="eastAsia" w:ascii="宋体" w:hAnsi="宋体"/>
          <w:szCs w:val="21"/>
        </w:rPr>
        <w:t>广东省河源监狱</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20" w:firstLineChars="200"/>
        <w:jc w:val="left"/>
        <w:outlineLvl w:val="9"/>
        <w:rPr>
          <w:rFonts w:cs="宋体" w:asciiTheme="minorEastAsia" w:hAnsiTheme="minorEastAsia"/>
          <w:kern w:val="0"/>
          <w:szCs w:val="21"/>
        </w:rPr>
      </w:pPr>
      <w:r>
        <w:rPr>
          <w:rFonts w:hint="eastAsia" w:cs="宋体" w:asciiTheme="minorEastAsia" w:hAnsiTheme="minorEastAsia"/>
          <w:kern w:val="0"/>
          <w:szCs w:val="21"/>
        </w:rPr>
        <w:t>采购人地址：</w:t>
      </w:r>
      <w:r>
        <w:rPr>
          <w:rFonts w:hint="eastAsia" w:ascii="宋体" w:hAnsi="宋体" w:cs="宋体"/>
        </w:rPr>
        <w:t>广东省河源市东环路南2号</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20" w:firstLineChars="200"/>
        <w:jc w:val="left"/>
        <w:outlineLvl w:val="9"/>
        <w:rPr>
          <w:rFonts w:cs="宋体" w:asciiTheme="minorEastAsia" w:hAnsiTheme="minorEastAsia"/>
          <w:kern w:val="0"/>
          <w:szCs w:val="21"/>
        </w:rPr>
      </w:pPr>
      <w:r>
        <w:rPr>
          <w:rFonts w:hint="eastAsia" w:cs="宋体" w:asciiTheme="minorEastAsia" w:hAnsiTheme="minorEastAsia"/>
          <w:kern w:val="0"/>
          <w:szCs w:val="21"/>
        </w:rPr>
        <w:t>2、采购代理机构名称、地址和联系方式</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20" w:firstLineChars="200"/>
        <w:jc w:val="left"/>
        <w:outlineLvl w:val="9"/>
        <w:rPr>
          <w:rFonts w:cs="宋体" w:asciiTheme="minorEastAsia" w:hAnsiTheme="minorEastAsia"/>
          <w:kern w:val="0"/>
          <w:szCs w:val="21"/>
        </w:rPr>
      </w:pPr>
      <w:r>
        <w:rPr>
          <w:rFonts w:hint="eastAsia" w:cs="宋体" w:asciiTheme="minorEastAsia" w:hAnsiTheme="minorEastAsia"/>
          <w:kern w:val="0"/>
          <w:szCs w:val="21"/>
        </w:rPr>
        <w:t>采购代理机构名称：广州顺为招标采购有限公司（网址：www.gzswbc.com）</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20" w:firstLineChars="200"/>
        <w:jc w:val="left"/>
        <w:outlineLvl w:val="9"/>
        <w:rPr>
          <w:rFonts w:cs="宋体" w:asciiTheme="minorEastAsia" w:hAnsiTheme="minorEastAsia"/>
          <w:kern w:val="0"/>
          <w:szCs w:val="21"/>
        </w:rPr>
      </w:pPr>
      <w:r>
        <w:rPr>
          <w:rFonts w:hint="eastAsia" w:cs="宋体" w:asciiTheme="minorEastAsia" w:hAnsiTheme="minorEastAsia"/>
          <w:kern w:val="0"/>
          <w:szCs w:val="21"/>
        </w:rPr>
        <w:t>采购代理机构地点：广州市环市中路205号恒生大厦B座501室</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20" w:firstLineChars="200"/>
        <w:jc w:val="left"/>
        <w:outlineLvl w:val="9"/>
        <w:rPr>
          <w:rFonts w:cs="宋体" w:asciiTheme="minorEastAsia" w:hAnsiTheme="minorEastAsia"/>
          <w:kern w:val="0"/>
          <w:szCs w:val="21"/>
        </w:rPr>
      </w:pPr>
      <w:r>
        <w:rPr>
          <w:rFonts w:hint="eastAsia" w:cs="宋体" w:asciiTheme="minorEastAsia" w:hAnsiTheme="minorEastAsia"/>
          <w:kern w:val="0"/>
          <w:szCs w:val="21"/>
        </w:rPr>
        <w:t>采购项目联系人姓名：黄先生</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20" w:firstLineChars="200"/>
        <w:jc w:val="left"/>
        <w:outlineLvl w:val="9"/>
        <w:rPr>
          <w:rFonts w:cs="宋体" w:asciiTheme="minorEastAsia" w:hAnsiTheme="minorEastAsia"/>
          <w:kern w:val="0"/>
          <w:szCs w:val="21"/>
        </w:rPr>
      </w:pPr>
      <w:r>
        <w:rPr>
          <w:rFonts w:hint="eastAsia" w:cs="宋体" w:asciiTheme="minorEastAsia" w:hAnsiTheme="minorEastAsia"/>
          <w:kern w:val="0"/>
          <w:szCs w:val="21"/>
        </w:rPr>
        <w:t>采购项目联系人电话：020-83592216-8</w:t>
      </w:r>
      <w:r>
        <w:rPr>
          <w:rFonts w:cs="宋体" w:asciiTheme="minorEastAsia" w:hAnsiTheme="minorEastAsia"/>
          <w:kern w:val="0"/>
          <w:szCs w:val="21"/>
        </w:rPr>
        <w:t>35</w:t>
      </w:r>
    </w:p>
    <w:p>
      <w:pPr>
        <w:keepNext w:val="0"/>
        <w:keepLines w:val="0"/>
        <w:pageBreakBefore w:val="0"/>
        <w:widowControl/>
        <w:tabs>
          <w:tab w:val="left" w:pos="4680"/>
        </w:tabs>
        <w:kinsoku/>
        <w:wordWrap/>
        <w:overflowPunct/>
        <w:topLinePunct w:val="0"/>
        <w:autoSpaceDE/>
        <w:autoSpaceDN/>
        <w:bidi w:val="0"/>
        <w:adjustRightInd/>
        <w:snapToGrid w:val="0"/>
        <w:spacing w:line="400" w:lineRule="exact"/>
        <w:ind w:firstLine="420" w:firstLineChars="200"/>
        <w:jc w:val="left"/>
        <w:outlineLvl w:val="9"/>
        <w:rPr>
          <w:rFonts w:ascii="宋体" w:hAnsi="宋体" w:eastAsia="宋体" w:cs="Tahoma"/>
          <w:kern w:val="0"/>
          <w:szCs w:val="20"/>
        </w:rPr>
      </w:pPr>
    </w:p>
    <w:p>
      <w:pPr>
        <w:keepNext w:val="0"/>
        <w:keepLines w:val="0"/>
        <w:pageBreakBefore w:val="0"/>
        <w:widowControl/>
        <w:shd w:val="clear" w:color="auto" w:fill="FFFFFF"/>
        <w:kinsoku/>
        <w:wordWrap/>
        <w:overflowPunct/>
        <w:topLinePunct w:val="0"/>
        <w:autoSpaceDE/>
        <w:autoSpaceDN/>
        <w:bidi w:val="0"/>
        <w:adjustRightInd/>
        <w:spacing w:line="400" w:lineRule="exact"/>
        <w:jc w:val="right"/>
        <w:outlineLvl w:val="9"/>
        <w:rPr>
          <w:rFonts w:cs="宋体" w:asciiTheme="minorEastAsia" w:hAnsiTheme="minorEastAsia"/>
          <w:kern w:val="0"/>
          <w:szCs w:val="21"/>
        </w:rPr>
      </w:pPr>
    </w:p>
    <w:p>
      <w:pPr>
        <w:keepNext w:val="0"/>
        <w:keepLines w:val="0"/>
        <w:pageBreakBefore w:val="0"/>
        <w:widowControl/>
        <w:shd w:val="clear" w:color="auto" w:fill="FFFFFF"/>
        <w:kinsoku/>
        <w:wordWrap/>
        <w:overflowPunct/>
        <w:topLinePunct w:val="0"/>
        <w:autoSpaceDE/>
        <w:autoSpaceDN/>
        <w:bidi w:val="0"/>
        <w:adjustRightInd/>
        <w:spacing w:line="400" w:lineRule="exact"/>
        <w:ind w:right="643" w:rightChars="306"/>
        <w:jc w:val="right"/>
        <w:outlineLvl w:val="9"/>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广东省河源监狱</w:t>
      </w:r>
    </w:p>
    <w:p>
      <w:pPr>
        <w:keepNext w:val="0"/>
        <w:keepLines w:val="0"/>
        <w:pageBreakBefore w:val="0"/>
        <w:widowControl/>
        <w:shd w:val="clear" w:color="auto" w:fill="FFFFFF"/>
        <w:kinsoku/>
        <w:wordWrap/>
        <w:overflowPunct/>
        <w:topLinePunct w:val="0"/>
        <w:autoSpaceDE/>
        <w:autoSpaceDN/>
        <w:bidi w:val="0"/>
        <w:adjustRightInd/>
        <w:spacing w:line="400" w:lineRule="exact"/>
        <w:ind w:right="643" w:rightChars="306"/>
        <w:jc w:val="right"/>
        <w:outlineLvl w:val="9"/>
        <w:rPr>
          <w:rFonts w:cs="宋体" w:asciiTheme="minorEastAsia" w:hAnsiTheme="minorEastAsia"/>
          <w:kern w:val="0"/>
          <w:szCs w:val="21"/>
        </w:rPr>
      </w:pPr>
      <w:r>
        <w:rPr>
          <w:rFonts w:hint="eastAsia" w:cs="宋体" w:asciiTheme="minorEastAsia" w:hAnsiTheme="minorEastAsia"/>
          <w:kern w:val="0"/>
          <w:szCs w:val="21"/>
        </w:rPr>
        <w:t>202</w:t>
      </w:r>
      <w:r>
        <w:rPr>
          <w:rFonts w:cs="宋体" w:asciiTheme="minorEastAsia" w:hAnsiTheme="minorEastAsia"/>
          <w:kern w:val="0"/>
          <w:szCs w:val="21"/>
        </w:rPr>
        <w:t>5</w:t>
      </w:r>
      <w:r>
        <w:rPr>
          <w:rFonts w:hint="eastAsia" w:cs="宋体" w:asciiTheme="minorEastAsia" w:hAnsiTheme="minorEastAsia"/>
          <w:kern w:val="0"/>
          <w:szCs w:val="21"/>
        </w:rPr>
        <w:t>年</w:t>
      </w:r>
      <w:r>
        <w:rPr>
          <w:rFonts w:cs="宋体" w:asciiTheme="minorEastAsia" w:hAnsiTheme="minorEastAsia"/>
          <w:kern w:val="0"/>
          <w:szCs w:val="21"/>
        </w:rPr>
        <w:t>4</w:t>
      </w:r>
      <w:r>
        <w:rPr>
          <w:rFonts w:hint="eastAsia" w:cs="宋体" w:asciiTheme="minorEastAsia" w:hAnsiTheme="minorEastAsia"/>
          <w:kern w:val="0"/>
          <w:szCs w:val="21"/>
        </w:rPr>
        <w:t>月</w:t>
      </w:r>
      <w:r>
        <w:rPr>
          <w:rFonts w:hint="eastAsia" w:cs="宋体" w:asciiTheme="minorEastAsia" w:hAnsiTheme="minorEastAsia"/>
          <w:kern w:val="0"/>
          <w:szCs w:val="21"/>
          <w:lang w:val="en-US" w:eastAsia="zh-CN"/>
        </w:rPr>
        <w:t>14</w:t>
      </w:r>
      <w:r>
        <w:rPr>
          <w:rFonts w:cs="宋体" w:asciiTheme="minorEastAsia" w:hAnsiTheme="minorEastAsia"/>
          <w:kern w:val="0"/>
          <w:szCs w:val="21"/>
        </w:rPr>
        <w:t>日</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pacing w:line="400" w:lineRule="exact"/>
        <w:jc w:val="left"/>
        <w:outlineLvl w:val="9"/>
        <w:rPr>
          <w:rFonts w:cs="宋体" w:asciiTheme="minorEastAsia" w:hAnsiTheme="minorEastAsia"/>
          <w:kern w:val="0"/>
          <w:szCs w:val="21"/>
        </w:rPr>
      </w:pPr>
      <w:r>
        <w:rPr>
          <w:rFonts w:hint="eastAsia" w:cs="宋体" w:asciiTheme="minorEastAsia" w:hAnsiTheme="minorEastAsia"/>
          <w:kern w:val="0"/>
          <w:szCs w:val="21"/>
        </w:rPr>
        <w:t> </w:t>
      </w:r>
    </w:p>
    <w:sectPr>
      <w:footerReference r:id="rId3" w:type="default"/>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xYTEzM2U0N2I4MmFkZDNmOGQzY2QyZGJmYjY0Y2QifQ=="/>
  </w:docVars>
  <w:rsids>
    <w:rsidRoot w:val="000A47AF"/>
    <w:rsid w:val="00061702"/>
    <w:rsid w:val="000756D5"/>
    <w:rsid w:val="000A47AF"/>
    <w:rsid w:val="000B3447"/>
    <w:rsid w:val="000E1F84"/>
    <w:rsid w:val="000F38F6"/>
    <w:rsid w:val="001231DD"/>
    <w:rsid w:val="00174D3F"/>
    <w:rsid w:val="001E1BE5"/>
    <w:rsid w:val="00201E0C"/>
    <w:rsid w:val="00227139"/>
    <w:rsid w:val="00260D23"/>
    <w:rsid w:val="002B3465"/>
    <w:rsid w:val="002C1180"/>
    <w:rsid w:val="002E2667"/>
    <w:rsid w:val="002F7256"/>
    <w:rsid w:val="00311945"/>
    <w:rsid w:val="00336A83"/>
    <w:rsid w:val="00352FA7"/>
    <w:rsid w:val="00361160"/>
    <w:rsid w:val="003614AF"/>
    <w:rsid w:val="003A0391"/>
    <w:rsid w:val="003C501E"/>
    <w:rsid w:val="003D5642"/>
    <w:rsid w:val="003F4655"/>
    <w:rsid w:val="00415FBB"/>
    <w:rsid w:val="00423701"/>
    <w:rsid w:val="004663FF"/>
    <w:rsid w:val="00467061"/>
    <w:rsid w:val="0049435F"/>
    <w:rsid w:val="004A7840"/>
    <w:rsid w:val="004B08C5"/>
    <w:rsid w:val="004F3C7E"/>
    <w:rsid w:val="004F72FA"/>
    <w:rsid w:val="0054259D"/>
    <w:rsid w:val="005476CC"/>
    <w:rsid w:val="00552FEE"/>
    <w:rsid w:val="006040A2"/>
    <w:rsid w:val="00677909"/>
    <w:rsid w:val="00695CC6"/>
    <w:rsid w:val="006A5F74"/>
    <w:rsid w:val="006C5DD4"/>
    <w:rsid w:val="006E33A1"/>
    <w:rsid w:val="006F357A"/>
    <w:rsid w:val="00714D6A"/>
    <w:rsid w:val="0071736F"/>
    <w:rsid w:val="00770762"/>
    <w:rsid w:val="007E1409"/>
    <w:rsid w:val="007F6D63"/>
    <w:rsid w:val="00806FD9"/>
    <w:rsid w:val="00823A80"/>
    <w:rsid w:val="00826E93"/>
    <w:rsid w:val="00832CB9"/>
    <w:rsid w:val="00862CCC"/>
    <w:rsid w:val="008A1F22"/>
    <w:rsid w:val="008D0C86"/>
    <w:rsid w:val="008F6F4E"/>
    <w:rsid w:val="00912B0D"/>
    <w:rsid w:val="00923088"/>
    <w:rsid w:val="00932BDB"/>
    <w:rsid w:val="0097010D"/>
    <w:rsid w:val="00972A08"/>
    <w:rsid w:val="009742FB"/>
    <w:rsid w:val="009E40DC"/>
    <w:rsid w:val="009E713C"/>
    <w:rsid w:val="00A23EE2"/>
    <w:rsid w:val="00A6047C"/>
    <w:rsid w:val="00A87815"/>
    <w:rsid w:val="00AC24B1"/>
    <w:rsid w:val="00B44883"/>
    <w:rsid w:val="00B57213"/>
    <w:rsid w:val="00BC1448"/>
    <w:rsid w:val="00BC2D82"/>
    <w:rsid w:val="00BC6C9A"/>
    <w:rsid w:val="00BE7D01"/>
    <w:rsid w:val="00BF2E16"/>
    <w:rsid w:val="00BF68E5"/>
    <w:rsid w:val="00C476F3"/>
    <w:rsid w:val="00C764C8"/>
    <w:rsid w:val="00C77EE7"/>
    <w:rsid w:val="00CB12D6"/>
    <w:rsid w:val="00CC5FBD"/>
    <w:rsid w:val="00CF436D"/>
    <w:rsid w:val="00D40D54"/>
    <w:rsid w:val="00DA779E"/>
    <w:rsid w:val="00DB5F65"/>
    <w:rsid w:val="00DC0B7B"/>
    <w:rsid w:val="00DC560B"/>
    <w:rsid w:val="00DF1C20"/>
    <w:rsid w:val="00DF3A2B"/>
    <w:rsid w:val="00E165CF"/>
    <w:rsid w:val="00EB768B"/>
    <w:rsid w:val="00EC2C9F"/>
    <w:rsid w:val="00EC6B15"/>
    <w:rsid w:val="00EE7954"/>
    <w:rsid w:val="00F276FD"/>
    <w:rsid w:val="00F64942"/>
    <w:rsid w:val="00F736D0"/>
    <w:rsid w:val="00FC421B"/>
    <w:rsid w:val="00FD1947"/>
    <w:rsid w:val="2C593934"/>
    <w:rsid w:val="30D44C97"/>
    <w:rsid w:val="5C1916A5"/>
    <w:rsid w:val="5E0D4F12"/>
    <w:rsid w:val="61A80E19"/>
    <w:rsid w:val="70EF58C3"/>
    <w:rsid w:val="73311008"/>
    <w:rsid w:val="7B511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Pages>
  <Words>150</Words>
  <Characters>860</Characters>
  <Lines>7</Lines>
  <Paragraphs>2</Paragraphs>
  <TotalTime>37</TotalTime>
  <ScaleCrop>false</ScaleCrop>
  <LinksUpToDate>false</LinksUpToDate>
  <CharactersWithSpaces>1008</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2025-03-26T06:27:00Z</dcterms:created>
  <dc:creator>Windows 用户</dc:creator>
  <cp:lastModifiedBy>陈志</cp:lastModifiedBy>
  <dcterms:modified xsi:type="dcterms:W3CDTF">2025-04-14T07:01:57Z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5B3282BC23144DA78423121ED37EEC66_13</vt:lpwstr>
  </property>
  <property fmtid="{D5CDD505-2E9C-101B-9397-08002B2CF9AE}" pid="4" name="KSOTemplateDocerSaveRecord">
    <vt:lpwstr>eyJoZGlkIjoiMTY5ZDg0YTdhNDBlMzI4ZDAwY2ZhNGVjYTU4MzJjNDMiLCJ1c2VySWQiOiI1NjA5NzkyNjAifQ==</vt:lpwstr>
  </property>
</Properties>
</file>