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line="360" w:lineRule="auto"/>
        <w:jc w:val="center"/>
        <w:textAlignment w:val="auto"/>
        <w:outlineLvl w:val="0"/>
        <w:rPr>
          <w:rFonts w:hint="eastAsia" w:cs="宋体" w:asciiTheme="minorEastAsia" w:hAnsiTheme="minorEastAsia"/>
          <w:b/>
          <w:bCs/>
          <w:kern w:val="36"/>
          <w:sz w:val="28"/>
          <w:szCs w:val="28"/>
          <w:lang w:eastAsia="zh-CN"/>
        </w:rPr>
      </w:pPr>
      <w:r>
        <w:rPr>
          <w:rFonts w:hint="eastAsia" w:cs="宋体" w:asciiTheme="minorEastAsia" w:hAnsiTheme="minorEastAsia"/>
          <w:b/>
          <w:bCs/>
          <w:kern w:val="36"/>
          <w:sz w:val="28"/>
          <w:szCs w:val="28"/>
          <w:lang w:eastAsia="zh-CN"/>
        </w:rPr>
        <w:t>广东省广裕集团河源莲塘实业有限责任公司2025年度低值易耗品</w:t>
      </w:r>
    </w:p>
    <w:p>
      <w:pPr>
        <w:keepNext w:val="0"/>
        <w:keepLines w:val="0"/>
        <w:pageBreakBefore w:val="0"/>
        <w:widowControl/>
        <w:shd w:val="clear" w:color="auto" w:fill="FFFFFF"/>
        <w:kinsoku/>
        <w:wordWrap/>
        <w:overflowPunct/>
        <w:topLinePunct w:val="0"/>
        <w:autoSpaceDE/>
        <w:autoSpaceDN/>
        <w:bidi w:val="0"/>
        <w:adjustRightInd/>
        <w:snapToGrid/>
        <w:spacing w:line="360" w:lineRule="auto"/>
        <w:jc w:val="center"/>
        <w:textAlignment w:val="auto"/>
        <w:outlineLvl w:val="0"/>
        <w:rPr>
          <w:rFonts w:cs="宋体" w:asciiTheme="minorEastAsia" w:hAnsiTheme="minorEastAsia"/>
          <w:b/>
          <w:bCs/>
          <w:kern w:val="36"/>
          <w:sz w:val="28"/>
          <w:szCs w:val="28"/>
        </w:rPr>
      </w:pPr>
      <w:r>
        <w:rPr>
          <w:rFonts w:hint="eastAsia" w:cs="宋体" w:asciiTheme="minorEastAsia" w:hAnsiTheme="minorEastAsia"/>
          <w:b/>
          <w:bCs/>
          <w:kern w:val="36"/>
          <w:sz w:val="28"/>
          <w:szCs w:val="28"/>
          <w:lang w:eastAsia="zh-CN"/>
        </w:rPr>
        <w:t>项目</w:t>
      </w:r>
      <w:r>
        <w:rPr>
          <w:rFonts w:hint="eastAsia" w:cs="宋体" w:asciiTheme="minorEastAsia" w:hAnsiTheme="minorEastAsia"/>
          <w:b/>
          <w:bCs/>
          <w:kern w:val="36"/>
          <w:sz w:val="28"/>
          <w:szCs w:val="28"/>
        </w:rPr>
        <w:t>竞价结果公告</w:t>
      </w:r>
    </w:p>
    <w:p>
      <w:pPr>
        <w:widowControl/>
        <w:shd w:val="clear" w:color="auto" w:fill="FFFFFF"/>
        <w:jc w:val="left"/>
        <w:rPr>
          <w:rFonts w:cs="宋体" w:asciiTheme="minorEastAsia" w:hAnsiTheme="minorEastAsia"/>
          <w:kern w:val="0"/>
          <w:szCs w:val="21"/>
        </w:rPr>
      </w:pPr>
    </w:p>
    <w:p>
      <w:pPr>
        <w:keepNext w:val="0"/>
        <w:keepLines w:val="0"/>
        <w:pageBreakBefore w:val="0"/>
        <w:widowControl/>
        <w:shd w:val="clear" w:color="auto" w:fill="FFFFFF"/>
        <w:kinsoku/>
        <w:wordWrap/>
        <w:overflowPunct/>
        <w:topLinePunct w:val="0"/>
        <w:autoSpaceDE/>
        <w:autoSpaceDN/>
        <w:bidi w:val="0"/>
        <w:adjustRightInd/>
        <w:snapToGrid/>
        <w:spacing w:line="300" w:lineRule="auto"/>
        <w:ind w:firstLine="420" w:firstLineChars="200"/>
        <w:textAlignment w:val="auto"/>
        <w:rPr>
          <w:rFonts w:cs="宋体" w:asciiTheme="minorEastAsia" w:hAnsiTheme="minorEastAsia"/>
          <w:kern w:val="0"/>
          <w:szCs w:val="21"/>
        </w:rPr>
      </w:pPr>
      <w:r>
        <w:rPr>
          <w:rFonts w:hint="eastAsia" w:cs="宋体" w:asciiTheme="minorEastAsia" w:hAnsiTheme="minorEastAsia"/>
          <w:kern w:val="0"/>
          <w:szCs w:val="21"/>
        </w:rPr>
        <w:t>广州顺为招标采购有限公司（以下简称“采购代理机构”）受</w:t>
      </w:r>
      <w:r>
        <w:rPr>
          <w:rFonts w:hint="eastAsia" w:cs="宋体" w:asciiTheme="minorEastAsia" w:hAnsiTheme="minorEastAsia"/>
          <w:kern w:val="0"/>
          <w:szCs w:val="21"/>
          <w:lang w:eastAsia="zh-CN"/>
        </w:rPr>
        <w:t>广东省广裕集团河源莲塘实业有限责任公司</w:t>
      </w:r>
      <w:r>
        <w:rPr>
          <w:rFonts w:hint="eastAsia" w:cs="宋体" w:asciiTheme="minorEastAsia" w:hAnsiTheme="minorEastAsia"/>
          <w:kern w:val="0"/>
          <w:szCs w:val="21"/>
        </w:rPr>
        <w:t>（以下简称“采购人”）的委托就</w:t>
      </w:r>
      <w:r>
        <w:rPr>
          <w:rFonts w:hint="eastAsia" w:cs="宋体" w:asciiTheme="minorEastAsia" w:hAnsiTheme="minorEastAsia"/>
          <w:kern w:val="0"/>
          <w:szCs w:val="21"/>
          <w:lang w:eastAsia="zh-CN"/>
        </w:rPr>
        <w:t>广东省广裕集团河源莲塘实业有限责任公司2025年度低值易耗品项目</w:t>
      </w:r>
      <w:r>
        <w:rPr>
          <w:rFonts w:hint="eastAsia" w:cs="宋体" w:asciiTheme="minorEastAsia" w:hAnsiTheme="minorEastAsia"/>
          <w:kern w:val="0"/>
          <w:szCs w:val="21"/>
        </w:rPr>
        <w:t>（项目编号：</w:t>
      </w:r>
      <w:r>
        <w:rPr>
          <w:rFonts w:hint="eastAsia" w:cs="宋体" w:asciiTheme="minorEastAsia" w:hAnsiTheme="minorEastAsia"/>
          <w:kern w:val="0"/>
          <w:szCs w:val="21"/>
          <w:lang w:eastAsia="zh-CN"/>
        </w:rPr>
        <w:t>GZSW25201HJ4054</w:t>
      </w:r>
      <w:r>
        <w:rPr>
          <w:rFonts w:hint="eastAsia" w:cs="宋体" w:asciiTheme="minorEastAsia" w:hAnsiTheme="minorEastAsia"/>
          <w:kern w:val="0"/>
          <w:szCs w:val="21"/>
        </w:rPr>
        <w:t>）进行网上竞价采购。采购代理机构于</w:t>
      </w:r>
      <w:r>
        <w:rPr>
          <w:rFonts w:hint="eastAsia" w:cs="宋体" w:asciiTheme="minorEastAsia" w:hAnsiTheme="minorEastAsia"/>
          <w:kern w:val="0"/>
          <w:szCs w:val="21"/>
          <w:lang w:eastAsia="zh-CN"/>
        </w:rPr>
        <w:t>2025年</w:t>
      </w:r>
      <w:r>
        <w:rPr>
          <w:rFonts w:hint="eastAsia" w:cs="宋体" w:asciiTheme="minorEastAsia" w:hAnsiTheme="minorEastAsia"/>
          <w:kern w:val="0"/>
          <w:szCs w:val="21"/>
          <w:lang w:val="en-US" w:eastAsia="zh-CN"/>
        </w:rPr>
        <w:t>10</w:t>
      </w:r>
      <w:r>
        <w:rPr>
          <w:rFonts w:hint="eastAsia" w:cs="宋体" w:asciiTheme="minorEastAsia" w:hAnsiTheme="minorEastAsia"/>
          <w:kern w:val="0"/>
          <w:szCs w:val="21"/>
        </w:rPr>
        <w:t>月</w:t>
      </w:r>
      <w:r>
        <w:rPr>
          <w:rFonts w:hint="eastAsia" w:cs="宋体" w:asciiTheme="minorEastAsia" w:hAnsiTheme="minorEastAsia"/>
          <w:kern w:val="0"/>
          <w:szCs w:val="21"/>
          <w:lang w:val="en-US" w:eastAsia="zh-CN"/>
        </w:rPr>
        <w:t>31</w:t>
      </w:r>
      <w:r>
        <w:rPr>
          <w:rFonts w:hint="eastAsia" w:cs="宋体" w:asciiTheme="minorEastAsia" w:hAnsiTheme="minorEastAsia"/>
          <w:kern w:val="0"/>
          <w:szCs w:val="21"/>
        </w:rPr>
        <w:t>日在“广州顺为招标采购有限公司网”（http://www.gzswbc.com）的电子采购平台发布网上竞价公告，采用网上竞价方式进行采购，报价截止时间为</w:t>
      </w:r>
      <w:r>
        <w:rPr>
          <w:rFonts w:hint="eastAsia" w:cs="宋体" w:asciiTheme="minorEastAsia" w:hAnsiTheme="minorEastAsia"/>
          <w:kern w:val="0"/>
          <w:szCs w:val="21"/>
          <w:lang w:eastAsia="zh-CN"/>
        </w:rPr>
        <w:t>2025年</w:t>
      </w:r>
      <w:r>
        <w:rPr>
          <w:rFonts w:hint="eastAsia" w:cs="宋体" w:asciiTheme="minorEastAsia" w:hAnsiTheme="minorEastAsia"/>
          <w:kern w:val="0"/>
          <w:szCs w:val="21"/>
          <w:lang w:val="en-US" w:eastAsia="zh-CN"/>
        </w:rPr>
        <w:t>11</w:t>
      </w:r>
      <w:r>
        <w:rPr>
          <w:rFonts w:hint="eastAsia" w:cs="宋体" w:asciiTheme="minorEastAsia" w:hAnsiTheme="minorEastAsia"/>
          <w:kern w:val="0"/>
          <w:szCs w:val="21"/>
        </w:rPr>
        <w:t>月</w:t>
      </w:r>
      <w:r>
        <w:rPr>
          <w:rFonts w:hint="eastAsia" w:cs="宋体" w:asciiTheme="minorEastAsia" w:hAnsiTheme="minorEastAsia"/>
          <w:kern w:val="0"/>
          <w:szCs w:val="21"/>
          <w:lang w:val="en-US" w:eastAsia="zh-CN"/>
        </w:rPr>
        <w:t>6</w:t>
      </w:r>
      <w:r>
        <w:rPr>
          <w:rFonts w:hint="eastAsia" w:cs="宋体" w:asciiTheme="minorEastAsia" w:hAnsiTheme="minorEastAsia"/>
          <w:kern w:val="0"/>
          <w:szCs w:val="21"/>
        </w:rPr>
        <w:t>日1</w:t>
      </w:r>
      <w:r>
        <w:rPr>
          <w:rFonts w:cs="宋体" w:asciiTheme="minorEastAsia" w:hAnsiTheme="minorEastAsia"/>
          <w:kern w:val="0"/>
          <w:szCs w:val="21"/>
        </w:rPr>
        <w:t>2</w:t>
      </w:r>
      <w:r>
        <w:rPr>
          <w:rFonts w:hint="eastAsia" w:cs="宋体" w:asciiTheme="minorEastAsia" w:hAnsiTheme="minorEastAsia"/>
          <w:kern w:val="0"/>
          <w:szCs w:val="21"/>
        </w:rPr>
        <w:t>:00:00。现将本次网上竞价结果公布如下：</w:t>
      </w:r>
    </w:p>
    <w:p>
      <w:pPr>
        <w:keepNext w:val="0"/>
        <w:keepLines w:val="0"/>
        <w:pageBreakBefore w:val="0"/>
        <w:widowControl/>
        <w:shd w:val="clear" w:color="auto" w:fill="FFFFFF"/>
        <w:kinsoku/>
        <w:wordWrap/>
        <w:overflowPunct/>
        <w:topLinePunct w:val="0"/>
        <w:autoSpaceDE/>
        <w:autoSpaceDN/>
        <w:bidi w:val="0"/>
        <w:adjustRightInd/>
        <w:snapToGrid/>
        <w:spacing w:line="300" w:lineRule="auto"/>
        <w:jc w:val="left"/>
        <w:textAlignment w:val="auto"/>
        <w:rPr>
          <w:rFonts w:cs="宋体" w:asciiTheme="minorEastAsia" w:hAnsiTheme="minorEastAsia"/>
          <w:b/>
          <w:bCs/>
          <w:kern w:val="0"/>
          <w:szCs w:val="21"/>
        </w:rPr>
      </w:pPr>
      <w:r>
        <w:rPr>
          <w:rFonts w:hint="eastAsia" w:cs="宋体" w:asciiTheme="minorEastAsia" w:hAnsiTheme="minorEastAsia"/>
          <w:b/>
          <w:bCs/>
          <w:kern w:val="0"/>
          <w:szCs w:val="21"/>
        </w:rPr>
        <w:t>一、报价情况</w:t>
      </w:r>
    </w:p>
    <w:tbl>
      <w:tblPr>
        <w:tblStyle w:val="6"/>
        <w:tblW w:w="101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4"/>
        <w:gridCol w:w="3450"/>
        <w:gridCol w:w="1310"/>
        <w:gridCol w:w="785"/>
        <w:gridCol w:w="3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blHeader/>
        </w:trPr>
        <w:tc>
          <w:tcPr>
            <w:tcW w:w="724" w:type="dxa"/>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auto"/>
              <w:jc w:val="center"/>
              <w:rPr>
                <w:rFonts w:ascii="宋体" w:hAnsi="宋体" w:cs="Helvetica"/>
                <w:b/>
                <w:bCs/>
                <w:color w:val="auto"/>
                <w:sz w:val="21"/>
                <w:szCs w:val="21"/>
              </w:rPr>
            </w:pPr>
            <w:r>
              <w:rPr>
                <w:rFonts w:ascii="宋体" w:hAnsi="宋体" w:cs="Helvetica"/>
                <w:b/>
                <w:bCs/>
                <w:color w:val="auto"/>
                <w:sz w:val="21"/>
                <w:szCs w:val="21"/>
              </w:rPr>
              <w:t>序号</w:t>
            </w:r>
          </w:p>
        </w:tc>
        <w:tc>
          <w:tcPr>
            <w:tcW w:w="3450" w:type="dxa"/>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auto"/>
              <w:jc w:val="center"/>
              <w:rPr>
                <w:rFonts w:ascii="宋体" w:hAnsi="宋体" w:cs="Helvetica"/>
                <w:b/>
                <w:bCs/>
                <w:color w:val="auto"/>
                <w:sz w:val="21"/>
                <w:szCs w:val="21"/>
              </w:rPr>
            </w:pPr>
            <w:r>
              <w:rPr>
                <w:rFonts w:ascii="宋体" w:hAnsi="宋体" w:cs="Helvetica"/>
                <w:b/>
                <w:bCs/>
                <w:color w:val="auto"/>
                <w:sz w:val="21"/>
                <w:szCs w:val="21"/>
              </w:rPr>
              <w:t>供应商名称</w:t>
            </w:r>
          </w:p>
        </w:tc>
        <w:tc>
          <w:tcPr>
            <w:tcW w:w="1310" w:type="dxa"/>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Helvetica"/>
                <w:b/>
                <w:bCs/>
                <w:color w:val="auto"/>
                <w:sz w:val="21"/>
                <w:szCs w:val="21"/>
                <w:lang w:val="en-US" w:eastAsia="zh-CN"/>
              </w:rPr>
            </w:pPr>
            <w:r>
              <w:rPr>
                <w:rFonts w:hint="eastAsia" w:ascii="宋体" w:hAnsi="宋体" w:eastAsia="宋体" w:cs="Helvetica"/>
                <w:b/>
                <w:bCs/>
                <w:color w:val="auto"/>
                <w:sz w:val="21"/>
                <w:szCs w:val="21"/>
                <w:lang w:val="en-US" w:eastAsia="zh-CN"/>
              </w:rPr>
              <w:t>报价折扣率</w:t>
            </w:r>
          </w:p>
        </w:tc>
        <w:tc>
          <w:tcPr>
            <w:tcW w:w="785"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宋体" w:hAnsi="宋体" w:cs="Helvetica"/>
                <w:b/>
                <w:bCs/>
                <w:color w:val="auto"/>
                <w:sz w:val="21"/>
                <w:szCs w:val="21"/>
              </w:rPr>
            </w:pPr>
            <w:r>
              <w:rPr>
                <w:rFonts w:ascii="宋体" w:hAnsi="宋体" w:cs="Helvetica"/>
                <w:b/>
                <w:bCs/>
                <w:color w:val="auto"/>
                <w:sz w:val="21"/>
                <w:szCs w:val="21"/>
              </w:rPr>
              <w:t>排名</w:t>
            </w:r>
          </w:p>
        </w:tc>
        <w:tc>
          <w:tcPr>
            <w:tcW w:w="3867"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Helvetica"/>
                <w:b/>
                <w:bCs/>
                <w:color w:val="auto"/>
                <w:sz w:val="21"/>
                <w:szCs w:val="21"/>
                <w:lang w:val="en-US" w:eastAsia="zh-CN"/>
              </w:rPr>
            </w:pPr>
            <w:r>
              <w:rPr>
                <w:rFonts w:hint="eastAsia" w:ascii="宋体" w:hAnsi="宋体" w:cs="Helvetica"/>
                <w:b/>
                <w:bCs/>
                <w:color w:val="auto"/>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724" w:type="dxa"/>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auto"/>
              <w:jc w:val="center"/>
              <w:rPr>
                <w:rFonts w:ascii="宋体" w:hAnsi="宋体" w:cs="Helvetica"/>
                <w:color w:val="auto"/>
                <w:sz w:val="21"/>
                <w:szCs w:val="21"/>
              </w:rPr>
            </w:pPr>
            <w:r>
              <w:rPr>
                <w:rFonts w:ascii="宋体" w:hAnsi="宋体" w:cs="Helvetica"/>
                <w:szCs w:val="21"/>
              </w:rPr>
              <w:t>1</w:t>
            </w:r>
          </w:p>
        </w:tc>
        <w:tc>
          <w:tcPr>
            <w:tcW w:w="3450" w:type="dxa"/>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Helvetica"/>
                <w:bCs/>
                <w:color w:val="auto"/>
                <w:sz w:val="21"/>
                <w:szCs w:val="21"/>
              </w:rPr>
            </w:pPr>
            <w:r>
              <w:rPr>
                <w:rFonts w:hint="eastAsia" w:ascii="宋体" w:hAnsi="宋体" w:eastAsia="宋体" w:cs="宋体"/>
                <w:i w:val="0"/>
                <w:iCs w:val="0"/>
                <w:color w:val="000000"/>
                <w:kern w:val="0"/>
                <w:sz w:val="21"/>
                <w:szCs w:val="21"/>
                <w:u w:val="none"/>
                <w:lang w:val="en-US" w:eastAsia="zh-CN" w:bidi="ar"/>
              </w:rPr>
              <w:t>河源市源城区百年鸿运家居馆</w:t>
            </w:r>
          </w:p>
        </w:tc>
        <w:tc>
          <w:tcPr>
            <w:tcW w:w="1310" w:type="dxa"/>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Helvetica"/>
                <w:bCs/>
                <w:color w:val="auto"/>
                <w:sz w:val="21"/>
                <w:szCs w:val="21"/>
                <w:lang w:val="en-US" w:eastAsia="zh-CN"/>
              </w:rPr>
            </w:pPr>
            <w:r>
              <w:rPr>
                <w:rFonts w:hint="default" w:ascii="宋体" w:hAnsi="宋体" w:eastAsia="宋体" w:cs="Helvetica"/>
                <w:bCs/>
                <w:color w:val="auto"/>
                <w:sz w:val="21"/>
                <w:szCs w:val="21"/>
                <w:lang w:val="en-US" w:eastAsia="zh-CN"/>
              </w:rPr>
              <w:t>68</w:t>
            </w:r>
            <w:r>
              <w:rPr>
                <w:rFonts w:hint="eastAsia" w:ascii="宋体" w:hAnsi="宋体" w:eastAsia="宋体" w:cs="Helvetica"/>
                <w:bCs/>
                <w:color w:val="auto"/>
                <w:sz w:val="21"/>
                <w:szCs w:val="21"/>
                <w:lang w:val="en-US" w:eastAsia="zh-CN"/>
              </w:rPr>
              <w:t>.00%</w:t>
            </w:r>
          </w:p>
        </w:tc>
        <w:tc>
          <w:tcPr>
            <w:tcW w:w="785"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Helvetica"/>
                <w:bCs/>
                <w:color w:val="auto"/>
                <w:sz w:val="21"/>
                <w:szCs w:val="21"/>
                <w:lang w:val="en-US" w:eastAsia="zh-CN"/>
              </w:rPr>
            </w:pPr>
            <w:r>
              <w:rPr>
                <w:rFonts w:hint="eastAsia" w:ascii="宋体" w:hAnsi="宋体" w:eastAsia="宋体" w:cs="Helvetica"/>
                <w:bCs/>
                <w:color w:val="auto"/>
                <w:sz w:val="21"/>
                <w:szCs w:val="21"/>
                <w:lang w:val="en-US" w:eastAsia="zh-CN"/>
              </w:rPr>
              <w:t>/</w:t>
            </w:r>
          </w:p>
        </w:tc>
        <w:tc>
          <w:tcPr>
            <w:tcW w:w="38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Helvetica"/>
                <w:bCs/>
                <w:color w:val="auto"/>
                <w:sz w:val="21"/>
                <w:szCs w:val="21"/>
                <w:lang w:eastAsia="zh-CN"/>
              </w:rPr>
            </w:pPr>
            <w:r>
              <w:rPr>
                <w:rFonts w:hint="eastAsia" w:ascii="宋体" w:hAnsi="宋体" w:eastAsia="宋体" w:cs="Helvetica"/>
                <w:bCs/>
                <w:color w:val="auto"/>
                <w:sz w:val="21"/>
                <w:szCs w:val="21"/>
                <w:lang w:val="en-US" w:eastAsia="zh-CN"/>
              </w:rPr>
              <w:t>上传的报价文件不符合竞价文件要求且报价文件中所盖公章的单位名称与报名单位名称不一致，按无效报价处理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724" w:type="dxa"/>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auto"/>
              <w:jc w:val="center"/>
              <w:rPr>
                <w:rFonts w:ascii="宋体" w:hAnsi="宋体" w:cs="Helvetica"/>
                <w:color w:val="auto"/>
                <w:sz w:val="21"/>
                <w:szCs w:val="21"/>
              </w:rPr>
            </w:pPr>
            <w:r>
              <w:rPr>
                <w:rFonts w:ascii="宋体" w:hAnsi="宋体" w:cs="Helvetica"/>
                <w:szCs w:val="21"/>
              </w:rPr>
              <w:t>2</w:t>
            </w:r>
          </w:p>
        </w:tc>
        <w:tc>
          <w:tcPr>
            <w:tcW w:w="3450" w:type="dxa"/>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Helvetica"/>
                <w:bCs/>
                <w:color w:val="auto"/>
                <w:sz w:val="21"/>
                <w:szCs w:val="21"/>
              </w:rPr>
            </w:pPr>
            <w:r>
              <w:rPr>
                <w:rFonts w:hint="eastAsia" w:ascii="宋体" w:hAnsi="宋体" w:eastAsia="宋体" w:cs="宋体"/>
                <w:i w:val="0"/>
                <w:iCs w:val="0"/>
                <w:color w:val="000000"/>
                <w:kern w:val="0"/>
                <w:sz w:val="21"/>
                <w:szCs w:val="21"/>
                <w:u w:val="none"/>
                <w:lang w:val="en-US" w:eastAsia="zh-CN" w:bidi="ar"/>
              </w:rPr>
              <w:t>河源市亦晨文化科技有限公司</w:t>
            </w:r>
          </w:p>
        </w:tc>
        <w:tc>
          <w:tcPr>
            <w:tcW w:w="1310" w:type="dxa"/>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Helvetica"/>
                <w:bCs/>
                <w:color w:val="auto"/>
                <w:sz w:val="21"/>
                <w:szCs w:val="21"/>
                <w:lang w:val="en-US" w:eastAsia="zh-CN"/>
              </w:rPr>
            </w:pPr>
            <w:r>
              <w:rPr>
                <w:rFonts w:hint="default" w:ascii="宋体" w:hAnsi="宋体" w:eastAsia="宋体" w:cs="Helvetica"/>
                <w:bCs/>
                <w:color w:val="auto"/>
                <w:sz w:val="21"/>
                <w:szCs w:val="21"/>
                <w:lang w:val="en-US" w:eastAsia="zh-CN"/>
              </w:rPr>
              <w:t>72</w:t>
            </w:r>
            <w:r>
              <w:rPr>
                <w:rFonts w:hint="eastAsia" w:ascii="宋体" w:hAnsi="宋体" w:eastAsia="宋体" w:cs="Helvetica"/>
                <w:bCs/>
                <w:color w:val="auto"/>
                <w:sz w:val="21"/>
                <w:szCs w:val="21"/>
                <w:lang w:val="en-US" w:eastAsia="zh-CN"/>
              </w:rPr>
              <w:t>.00%</w:t>
            </w:r>
          </w:p>
        </w:tc>
        <w:tc>
          <w:tcPr>
            <w:tcW w:w="785"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Helvetica"/>
                <w:bCs/>
                <w:color w:val="auto"/>
                <w:sz w:val="21"/>
                <w:szCs w:val="21"/>
                <w:lang w:val="en-US" w:eastAsia="zh-CN"/>
              </w:rPr>
            </w:pPr>
            <w:r>
              <w:rPr>
                <w:rFonts w:hint="eastAsia" w:ascii="宋体" w:hAnsi="宋体" w:eastAsia="宋体" w:cs="Helvetica"/>
                <w:bCs/>
                <w:color w:val="auto"/>
                <w:sz w:val="21"/>
                <w:szCs w:val="21"/>
                <w:lang w:val="en-US" w:eastAsia="zh-CN"/>
              </w:rPr>
              <w:t>1</w:t>
            </w:r>
          </w:p>
        </w:tc>
        <w:tc>
          <w:tcPr>
            <w:tcW w:w="3867" w:type="dxa"/>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Helvetica"/>
                <w:bCs/>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724" w:type="dxa"/>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auto"/>
              <w:jc w:val="center"/>
              <w:rPr>
                <w:rFonts w:ascii="宋体" w:hAnsi="宋体" w:cs="Helvetica"/>
                <w:color w:val="auto"/>
                <w:sz w:val="21"/>
                <w:szCs w:val="21"/>
              </w:rPr>
            </w:pPr>
            <w:r>
              <w:rPr>
                <w:rFonts w:ascii="宋体" w:hAnsi="宋体" w:cs="Helvetica"/>
                <w:szCs w:val="21"/>
              </w:rPr>
              <w:t>3</w:t>
            </w:r>
          </w:p>
        </w:tc>
        <w:tc>
          <w:tcPr>
            <w:tcW w:w="3450" w:type="dxa"/>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Helvetica"/>
                <w:bCs/>
                <w:color w:val="auto"/>
                <w:sz w:val="21"/>
                <w:szCs w:val="21"/>
              </w:rPr>
            </w:pPr>
            <w:r>
              <w:rPr>
                <w:rFonts w:hint="eastAsia" w:ascii="宋体" w:hAnsi="宋体" w:cs="Helvetica"/>
                <w:bCs/>
                <w:color w:val="auto"/>
                <w:sz w:val="21"/>
                <w:szCs w:val="21"/>
              </w:rPr>
              <w:t>广东名赛消防设备有限公司</w:t>
            </w:r>
          </w:p>
        </w:tc>
        <w:tc>
          <w:tcPr>
            <w:tcW w:w="1310" w:type="dxa"/>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Helvetica"/>
                <w:bCs/>
                <w:color w:val="auto"/>
                <w:sz w:val="21"/>
                <w:szCs w:val="21"/>
                <w:lang w:val="en-US" w:eastAsia="zh-CN"/>
              </w:rPr>
            </w:pPr>
            <w:r>
              <w:rPr>
                <w:rFonts w:hint="default" w:ascii="宋体" w:hAnsi="宋体" w:eastAsia="宋体" w:cs="Helvetica"/>
                <w:bCs/>
                <w:color w:val="auto"/>
                <w:sz w:val="21"/>
                <w:szCs w:val="21"/>
                <w:lang w:val="en-US" w:eastAsia="zh-CN"/>
              </w:rPr>
              <w:t>72.8</w:t>
            </w:r>
            <w:r>
              <w:rPr>
                <w:rFonts w:hint="eastAsia" w:ascii="宋体" w:hAnsi="宋体" w:eastAsia="宋体" w:cs="Helvetica"/>
                <w:bCs/>
                <w:color w:val="auto"/>
                <w:sz w:val="21"/>
                <w:szCs w:val="21"/>
                <w:lang w:val="en-US" w:eastAsia="zh-CN"/>
              </w:rPr>
              <w:t>0%</w:t>
            </w:r>
          </w:p>
        </w:tc>
        <w:tc>
          <w:tcPr>
            <w:tcW w:w="785"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Helvetica"/>
                <w:bCs/>
                <w:color w:val="auto"/>
                <w:sz w:val="21"/>
                <w:szCs w:val="21"/>
                <w:lang w:val="en-US" w:eastAsia="zh-CN"/>
              </w:rPr>
            </w:pPr>
            <w:r>
              <w:rPr>
                <w:rFonts w:hint="eastAsia" w:ascii="宋体" w:hAnsi="宋体" w:eastAsia="宋体" w:cs="Helvetica"/>
                <w:bCs/>
                <w:color w:val="auto"/>
                <w:sz w:val="21"/>
                <w:szCs w:val="21"/>
                <w:lang w:val="en-US" w:eastAsia="zh-CN"/>
              </w:rPr>
              <w:t>2</w:t>
            </w:r>
          </w:p>
        </w:tc>
        <w:tc>
          <w:tcPr>
            <w:tcW w:w="3867" w:type="dxa"/>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cs="Helvetica"/>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724" w:type="dxa"/>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auto"/>
              <w:jc w:val="center"/>
              <w:rPr>
                <w:rFonts w:ascii="宋体" w:hAnsi="宋体" w:cs="Helvetica"/>
                <w:color w:val="auto"/>
                <w:sz w:val="21"/>
                <w:szCs w:val="21"/>
              </w:rPr>
            </w:pPr>
            <w:r>
              <w:rPr>
                <w:rFonts w:hint="eastAsia" w:ascii="宋体" w:hAnsi="宋体" w:cs="Helvetica"/>
                <w:szCs w:val="21"/>
              </w:rPr>
              <w:t>4</w:t>
            </w:r>
          </w:p>
        </w:tc>
        <w:tc>
          <w:tcPr>
            <w:tcW w:w="3450" w:type="dxa"/>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Arial"/>
                <w:color w:val="auto"/>
                <w:sz w:val="21"/>
                <w:szCs w:val="21"/>
              </w:rPr>
            </w:pPr>
            <w:r>
              <w:rPr>
                <w:rFonts w:hint="eastAsia" w:ascii="宋体" w:hAnsi="宋体" w:eastAsia="宋体" w:cs="宋体"/>
                <w:i w:val="0"/>
                <w:iCs w:val="0"/>
                <w:color w:val="000000"/>
                <w:kern w:val="0"/>
                <w:sz w:val="21"/>
                <w:szCs w:val="21"/>
                <w:u w:val="none"/>
                <w:lang w:val="en-US" w:eastAsia="zh-CN" w:bidi="ar"/>
              </w:rPr>
              <w:t>广东坤凯商贸有限公司</w:t>
            </w:r>
          </w:p>
        </w:tc>
        <w:tc>
          <w:tcPr>
            <w:tcW w:w="1310" w:type="dxa"/>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Helvetica"/>
                <w:bCs/>
                <w:color w:val="auto"/>
                <w:sz w:val="21"/>
                <w:szCs w:val="21"/>
                <w:lang w:val="en-US" w:eastAsia="zh-CN"/>
              </w:rPr>
            </w:pPr>
            <w:r>
              <w:rPr>
                <w:rFonts w:hint="default" w:ascii="宋体" w:hAnsi="宋体" w:eastAsia="宋体" w:cs="Helvetica"/>
                <w:bCs/>
                <w:color w:val="auto"/>
                <w:sz w:val="21"/>
                <w:szCs w:val="21"/>
                <w:lang w:val="en-US" w:eastAsia="zh-CN"/>
              </w:rPr>
              <w:t>73</w:t>
            </w:r>
            <w:r>
              <w:rPr>
                <w:rFonts w:hint="eastAsia" w:ascii="宋体" w:hAnsi="宋体" w:eastAsia="宋体" w:cs="Helvetica"/>
                <w:bCs/>
                <w:color w:val="auto"/>
                <w:sz w:val="21"/>
                <w:szCs w:val="21"/>
                <w:lang w:val="en-US" w:eastAsia="zh-CN"/>
              </w:rPr>
              <w:t>.00%</w:t>
            </w:r>
          </w:p>
        </w:tc>
        <w:tc>
          <w:tcPr>
            <w:tcW w:w="785"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Helvetica"/>
                <w:bCs/>
                <w:color w:val="auto"/>
                <w:sz w:val="21"/>
                <w:szCs w:val="21"/>
                <w:lang w:val="en-US" w:eastAsia="zh-CN"/>
              </w:rPr>
            </w:pPr>
            <w:r>
              <w:rPr>
                <w:rFonts w:hint="eastAsia" w:ascii="宋体" w:hAnsi="宋体" w:eastAsia="宋体" w:cs="Helvetica"/>
                <w:bCs/>
                <w:color w:val="auto"/>
                <w:sz w:val="21"/>
                <w:szCs w:val="21"/>
                <w:lang w:val="en-US" w:eastAsia="zh-CN"/>
              </w:rPr>
              <w:t>3</w:t>
            </w:r>
          </w:p>
        </w:tc>
        <w:tc>
          <w:tcPr>
            <w:tcW w:w="3867" w:type="dxa"/>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cs="Helvetica"/>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724" w:type="dxa"/>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cs="Helvetica"/>
                <w:color w:val="auto"/>
                <w:sz w:val="21"/>
                <w:szCs w:val="21"/>
              </w:rPr>
            </w:pPr>
            <w:r>
              <w:rPr>
                <w:rFonts w:hint="eastAsia" w:ascii="宋体" w:hAnsi="宋体" w:cs="Helvetica"/>
                <w:szCs w:val="21"/>
              </w:rPr>
              <w:t>5</w:t>
            </w:r>
          </w:p>
        </w:tc>
        <w:tc>
          <w:tcPr>
            <w:tcW w:w="3450" w:type="dxa"/>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cs="Arial"/>
                <w:color w:val="auto"/>
                <w:sz w:val="21"/>
                <w:szCs w:val="21"/>
              </w:rPr>
            </w:pPr>
            <w:r>
              <w:rPr>
                <w:rFonts w:hint="eastAsia" w:cs="Arial"/>
                <w:color w:val="auto"/>
                <w:sz w:val="21"/>
                <w:szCs w:val="21"/>
              </w:rPr>
              <w:t>广东毓泰办公用品有限公司佛山分公司</w:t>
            </w:r>
          </w:p>
        </w:tc>
        <w:tc>
          <w:tcPr>
            <w:tcW w:w="1310" w:type="dxa"/>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Helvetica"/>
                <w:bCs/>
                <w:color w:val="auto"/>
                <w:sz w:val="21"/>
                <w:szCs w:val="21"/>
                <w:lang w:val="en-US" w:eastAsia="zh-CN"/>
              </w:rPr>
            </w:pPr>
            <w:r>
              <w:rPr>
                <w:rFonts w:hint="default" w:ascii="宋体" w:hAnsi="宋体" w:eastAsia="宋体" w:cs="Helvetica"/>
                <w:bCs/>
                <w:color w:val="auto"/>
                <w:sz w:val="21"/>
                <w:szCs w:val="21"/>
                <w:lang w:val="en-US" w:eastAsia="zh-CN"/>
              </w:rPr>
              <w:t>77.35</w:t>
            </w:r>
            <w:r>
              <w:rPr>
                <w:rFonts w:hint="eastAsia" w:ascii="宋体" w:hAnsi="宋体" w:eastAsia="宋体" w:cs="Helvetica"/>
                <w:bCs/>
                <w:color w:val="auto"/>
                <w:sz w:val="21"/>
                <w:szCs w:val="21"/>
                <w:lang w:val="en-US" w:eastAsia="zh-CN"/>
              </w:rPr>
              <w:t>%</w:t>
            </w:r>
          </w:p>
        </w:tc>
        <w:tc>
          <w:tcPr>
            <w:tcW w:w="785"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Helvetica"/>
                <w:bCs/>
                <w:color w:val="auto"/>
                <w:sz w:val="21"/>
                <w:szCs w:val="21"/>
                <w:lang w:val="en-US" w:eastAsia="zh-CN"/>
              </w:rPr>
            </w:pPr>
            <w:r>
              <w:rPr>
                <w:rFonts w:hint="eastAsia" w:ascii="宋体" w:hAnsi="宋体" w:eastAsia="宋体" w:cs="Helvetica"/>
                <w:bCs/>
                <w:color w:val="auto"/>
                <w:sz w:val="21"/>
                <w:szCs w:val="21"/>
                <w:lang w:val="en-US" w:eastAsia="zh-CN"/>
              </w:rPr>
              <w:t>4</w:t>
            </w:r>
          </w:p>
        </w:tc>
        <w:tc>
          <w:tcPr>
            <w:tcW w:w="3867" w:type="dxa"/>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Helvetica"/>
                <w:bCs/>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724" w:type="dxa"/>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cs="Helvetica"/>
                <w:color w:val="auto"/>
                <w:sz w:val="21"/>
                <w:szCs w:val="21"/>
              </w:rPr>
            </w:pPr>
            <w:r>
              <w:rPr>
                <w:rFonts w:hint="eastAsia" w:ascii="宋体" w:hAnsi="宋体" w:cs="Helvetica"/>
                <w:szCs w:val="21"/>
                <w:lang w:val="en-US" w:eastAsia="zh-CN"/>
              </w:rPr>
              <w:t>6</w:t>
            </w:r>
          </w:p>
        </w:tc>
        <w:tc>
          <w:tcPr>
            <w:tcW w:w="3450" w:type="dxa"/>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cs="Arial"/>
                <w:color w:val="auto"/>
                <w:sz w:val="21"/>
                <w:szCs w:val="21"/>
              </w:rPr>
            </w:pPr>
            <w:r>
              <w:rPr>
                <w:rFonts w:hint="eastAsia" w:ascii="宋体" w:hAnsi="宋体" w:eastAsia="宋体" w:cs="宋体"/>
                <w:i w:val="0"/>
                <w:iCs w:val="0"/>
                <w:color w:val="000000"/>
                <w:kern w:val="0"/>
                <w:sz w:val="21"/>
                <w:szCs w:val="21"/>
                <w:u w:val="none"/>
                <w:lang w:val="en-US" w:eastAsia="zh-CN" w:bidi="ar"/>
              </w:rPr>
              <w:t>广东友顺服饰有限公司</w:t>
            </w:r>
          </w:p>
        </w:tc>
        <w:tc>
          <w:tcPr>
            <w:tcW w:w="1310" w:type="dxa"/>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Helvetica"/>
                <w:bCs/>
                <w:color w:val="auto"/>
                <w:sz w:val="21"/>
                <w:szCs w:val="21"/>
                <w:lang w:val="en-US" w:eastAsia="zh-CN"/>
              </w:rPr>
            </w:pPr>
            <w:r>
              <w:rPr>
                <w:rFonts w:hint="default" w:ascii="宋体" w:hAnsi="宋体" w:eastAsia="宋体" w:cs="Helvetica"/>
                <w:bCs/>
                <w:color w:val="auto"/>
                <w:sz w:val="21"/>
                <w:szCs w:val="21"/>
                <w:lang w:val="en-US" w:eastAsia="zh-CN"/>
              </w:rPr>
              <w:t>78.4</w:t>
            </w:r>
            <w:r>
              <w:rPr>
                <w:rFonts w:hint="eastAsia" w:ascii="宋体" w:hAnsi="宋体" w:eastAsia="宋体" w:cs="Helvetica"/>
                <w:bCs/>
                <w:color w:val="auto"/>
                <w:sz w:val="21"/>
                <w:szCs w:val="21"/>
                <w:lang w:val="en-US" w:eastAsia="zh-CN"/>
              </w:rPr>
              <w:t>0%</w:t>
            </w:r>
          </w:p>
        </w:tc>
        <w:tc>
          <w:tcPr>
            <w:tcW w:w="785"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Helvetica"/>
                <w:bCs/>
                <w:color w:val="auto"/>
                <w:sz w:val="21"/>
                <w:szCs w:val="21"/>
                <w:lang w:val="en-US" w:eastAsia="zh-CN"/>
              </w:rPr>
            </w:pPr>
            <w:r>
              <w:rPr>
                <w:rFonts w:hint="eastAsia" w:ascii="宋体" w:hAnsi="宋体" w:eastAsia="宋体" w:cs="Helvetica"/>
                <w:bCs/>
                <w:color w:val="auto"/>
                <w:sz w:val="21"/>
                <w:szCs w:val="21"/>
                <w:lang w:val="en-US" w:eastAsia="zh-CN"/>
              </w:rPr>
              <w:t>5</w:t>
            </w:r>
          </w:p>
        </w:tc>
        <w:tc>
          <w:tcPr>
            <w:tcW w:w="3867" w:type="dxa"/>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Helvetica"/>
                <w:bCs/>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724" w:type="dxa"/>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cs="Helvetica"/>
                <w:color w:val="auto"/>
                <w:sz w:val="21"/>
                <w:szCs w:val="21"/>
              </w:rPr>
            </w:pPr>
            <w:r>
              <w:rPr>
                <w:rFonts w:hint="eastAsia" w:ascii="宋体" w:hAnsi="宋体" w:cs="Helvetica"/>
                <w:szCs w:val="21"/>
                <w:lang w:val="en-US" w:eastAsia="zh-CN"/>
              </w:rPr>
              <w:t>7</w:t>
            </w:r>
          </w:p>
        </w:tc>
        <w:tc>
          <w:tcPr>
            <w:tcW w:w="3450" w:type="dxa"/>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cs="Arial"/>
                <w:color w:val="auto"/>
                <w:sz w:val="21"/>
                <w:szCs w:val="21"/>
              </w:rPr>
            </w:pPr>
            <w:r>
              <w:rPr>
                <w:rFonts w:hint="eastAsia" w:ascii="宋体" w:hAnsi="宋体" w:eastAsia="宋体" w:cs="宋体"/>
                <w:i w:val="0"/>
                <w:iCs w:val="0"/>
                <w:color w:val="000000"/>
                <w:kern w:val="0"/>
                <w:sz w:val="21"/>
                <w:szCs w:val="21"/>
                <w:u w:val="none"/>
                <w:lang w:val="en-US" w:eastAsia="zh-CN" w:bidi="ar"/>
              </w:rPr>
              <w:t>深圳市鑫宝利科技有限公司</w:t>
            </w:r>
          </w:p>
        </w:tc>
        <w:tc>
          <w:tcPr>
            <w:tcW w:w="1310" w:type="dxa"/>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Helvetica"/>
                <w:bCs/>
                <w:color w:val="auto"/>
                <w:sz w:val="21"/>
                <w:szCs w:val="21"/>
                <w:lang w:val="en-US" w:eastAsia="zh-CN"/>
              </w:rPr>
            </w:pPr>
            <w:r>
              <w:rPr>
                <w:rFonts w:hint="default" w:ascii="宋体" w:hAnsi="宋体" w:eastAsia="宋体" w:cs="Helvetica"/>
                <w:bCs/>
                <w:color w:val="auto"/>
                <w:sz w:val="21"/>
                <w:szCs w:val="21"/>
                <w:lang w:val="en-US" w:eastAsia="zh-CN"/>
              </w:rPr>
              <w:t>81.9</w:t>
            </w:r>
            <w:r>
              <w:rPr>
                <w:rFonts w:hint="eastAsia" w:ascii="宋体" w:hAnsi="宋体" w:eastAsia="宋体" w:cs="Helvetica"/>
                <w:bCs/>
                <w:color w:val="auto"/>
                <w:sz w:val="21"/>
                <w:szCs w:val="21"/>
                <w:lang w:val="en-US" w:eastAsia="zh-CN"/>
              </w:rPr>
              <w:t>0%</w:t>
            </w:r>
          </w:p>
        </w:tc>
        <w:tc>
          <w:tcPr>
            <w:tcW w:w="785"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Helvetica"/>
                <w:bCs/>
                <w:color w:val="auto"/>
                <w:sz w:val="21"/>
                <w:szCs w:val="21"/>
                <w:lang w:val="en-US" w:eastAsia="zh-CN"/>
              </w:rPr>
            </w:pPr>
            <w:r>
              <w:rPr>
                <w:rFonts w:hint="eastAsia" w:ascii="宋体" w:hAnsi="宋体" w:eastAsia="宋体" w:cs="Helvetica"/>
                <w:bCs/>
                <w:color w:val="auto"/>
                <w:sz w:val="21"/>
                <w:szCs w:val="21"/>
                <w:lang w:val="en-US" w:eastAsia="zh-CN"/>
              </w:rPr>
              <w:t>6</w:t>
            </w:r>
          </w:p>
        </w:tc>
        <w:tc>
          <w:tcPr>
            <w:tcW w:w="3867" w:type="dxa"/>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Helvetica"/>
                <w:bCs/>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724" w:type="dxa"/>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cs="Helvetica"/>
                <w:szCs w:val="21"/>
                <w:lang w:val="en-US" w:eastAsia="zh-CN"/>
              </w:rPr>
            </w:pPr>
            <w:r>
              <w:rPr>
                <w:rFonts w:hint="eastAsia" w:ascii="宋体" w:hAnsi="宋体" w:cs="Helvetica"/>
                <w:szCs w:val="21"/>
                <w:lang w:val="en-US" w:eastAsia="zh-CN"/>
              </w:rPr>
              <w:t>8</w:t>
            </w:r>
          </w:p>
        </w:tc>
        <w:tc>
          <w:tcPr>
            <w:tcW w:w="3450" w:type="dxa"/>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广州领环贸易有限公司</w:t>
            </w:r>
          </w:p>
        </w:tc>
        <w:tc>
          <w:tcPr>
            <w:tcW w:w="1310" w:type="dxa"/>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Helvetica"/>
                <w:bCs/>
                <w:color w:val="auto"/>
                <w:sz w:val="21"/>
                <w:szCs w:val="21"/>
                <w:lang w:val="en-US" w:eastAsia="zh-CN"/>
              </w:rPr>
            </w:pPr>
            <w:r>
              <w:rPr>
                <w:rFonts w:hint="eastAsia" w:ascii="宋体" w:hAnsi="宋体" w:eastAsia="宋体" w:cs="Helvetica"/>
                <w:bCs/>
                <w:color w:val="auto"/>
                <w:sz w:val="21"/>
                <w:szCs w:val="21"/>
                <w:lang w:val="en-US" w:eastAsia="zh-CN"/>
              </w:rPr>
              <w:t>88.90%</w:t>
            </w:r>
          </w:p>
        </w:tc>
        <w:tc>
          <w:tcPr>
            <w:tcW w:w="785"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Helvetica"/>
                <w:bCs/>
                <w:color w:val="auto"/>
                <w:sz w:val="21"/>
                <w:szCs w:val="21"/>
                <w:lang w:val="en-US" w:eastAsia="zh-CN"/>
              </w:rPr>
            </w:pPr>
            <w:r>
              <w:rPr>
                <w:rFonts w:hint="eastAsia" w:ascii="宋体" w:hAnsi="宋体" w:eastAsia="宋体" w:cs="Helvetica"/>
                <w:bCs/>
                <w:color w:val="auto"/>
                <w:sz w:val="21"/>
                <w:szCs w:val="21"/>
                <w:lang w:val="en-US" w:eastAsia="zh-CN"/>
              </w:rPr>
              <w:t>7</w:t>
            </w:r>
          </w:p>
        </w:tc>
        <w:tc>
          <w:tcPr>
            <w:tcW w:w="3867" w:type="dxa"/>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Helvetica"/>
                <w:bCs/>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724" w:type="dxa"/>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cs="Helvetica"/>
                <w:szCs w:val="21"/>
                <w:lang w:val="en-US" w:eastAsia="zh-CN"/>
              </w:rPr>
            </w:pPr>
            <w:r>
              <w:rPr>
                <w:rFonts w:hint="eastAsia" w:ascii="宋体" w:hAnsi="宋体" w:cs="Helvetica"/>
                <w:szCs w:val="21"/>
                <w:lang w:val="en-US" w:eastAsia="zh-CN"/>
              </w:rPr>
              <w:t>9</w:t>
            </w:r>
          </w:p>
        </w:tc>
        <w:tc>
          <w:tcPr>
            <w:tcW w:w="3450" w:type="dxa"/>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河源市胜大传媒有限公司</w:t>
            </w:r>
          </w:p>
        </w:tc>
        <w:tc>
          <w:tcPr>
            <w:tcW w:w="1310" w:type="dxa"/>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Helvetica"/>
                <w:bCs/>
                <w:color w:val="auto"/>
                <w:sz w:val="21"/>
                <w:szCs w:val="21"/>
                <w:lang w:val="en-US" w:eastAsia="zh-CN"/>
              </w:rPr>
            </w:pPr>
            <w:r>
              <w:rPr>
                <w:rFonts w:hint="eastAsia" w:ascii="宋体" w:hAnsi="宋体" w:eastAsia="宋体" w:cs="Helvetica"/>
                <w:bCs/>
                <w:color w:val="auto"/>
                <w:sz w:val="21"/>
                <w:szCs w:val="21"/>
                <w:lang w:val="en-US" w:eastAsia="zh-CN"/>
              </w:rPr>
              <w:t>89.70%</w:t>
            </w:r>
          </w:p>
        </w:tc>
        <w:tc>
          <w:tcPr>
            <w:tcW w:w="785"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Helvetica"/>
                <w:bCs/>
                <w:color w:val="auto"/>
                <w:sz w:val="21"/>
                <w:szCs w:val="21"/>
                <w:lang w:val="en-US" w:eastAsia="zh-CN"/>
              </w:rPr>
            </w:pPr>
            <w:r>
              <w:rPr>
                <w:rFonts w:hint="eastAsia" w:ascii="宋体" w:hAnsi="宋体" w:eastAsia="宋体" w:cs="Helvetica"/>
                <w:bCs/>
                <w:color w:val="auto"/>
                <w:sz w:val="21"/>
                <w:szCs w:val="21"/>
                <w:lang w:val="en-US" w:eastAsia="zh-CN"/>
              </w:rPr>
              <w:t>8</w:t>
            </w:r>
          </w:p>
        </w:tc>
        <w:tc>
          <w:tcPr>
            <w:tcW w:w="3867" w:type="dxa"/>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Helvetica"/>
                <w:bCs/>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724" w:type="dxa"/>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cs="Helvetica"/>
                <w:szCs w:val="21"/>
                <w:lang w:val="en-US" w:eastAsia="zh-CN"/>
              </w:rPr>
            </w:pPr>
            <w:r>
              <w:rPr>
                <w:rFonts w:hint="eastAsia" w:ascii="宋体" w:hAnsi="宋体" w:cs="Helvetica"/>
                <w:szCs w:val="21"/>
                <w:lang w:val="en-US" w:eastAsia="zh-CN"/>
              </w:rPr>
              <w:t>10</w:t>
            </w:r>
          </w:p>
        </w:tc>
        <w:tc>
          <w:tcPr>
            <w:tcW w:w="3450" w:type="dxa"/>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茂盛（广州）项目管理有限公司</w:t>
            </w:r>
          </w:p>
        </w:tc>
        <w:tc>
          <w:tcPr>
            <w:tcW w:w="1310" w:type="dxa"/>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Helvetica"/>
                <w:bCs/>
                <w:color w:val="auto"/>
                <w:sz w:val="21"/>
                <w:szCs w:val="21"/>
                <w:lang w:val="en-US" w:eastAsia="zh-CN"/>
              </w:rPr>
            </w:pPr>
            <w:r>
              <w:rPr>
                <w:rFonts w:hint="eastAsia" w:ascii="宋体" w:hAnsi="宋体" w:eastAsia="宋体" w:cs="Helvetica"/>
                <w:bCs/>
                <w:color w:val="auto"/>
                <w:sz w:val="21"/>
                <w:szCs w:val="21"/>
                <w:lang w:val="en-US" w:eastAsia="zh-CN"/>
              </w:rPr>
              <w:t>89.80%</w:t>
            </w:r>
          </w:p>
        </w:tc>
        <w:tc>
          <w:tcPr>
            <w:tcW w:w="785"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Helvetica"/>
                <w:bCs/>
                <w:color w:val="auto"/>
                <w:sz w:val="21"/>
                <w:szCs w:val="21"/>
                <w:lang w:val="en-US" w:eastAsia="zh-CN"/>
              </w:rPr>
            </w:pPr>
            <w:r>
              <w:rPr>
                <w:rFonts w:hint="eastAsia" w:ascii="宋体" w:hAnsi="宋体" w:eastAsia="宋体" w:cs="Helvetica"/>
                <w:bCs/>
                <w:color w:val="auto"/>
                <w:sz w:val="21"/>
                <w:szCs w:val="21"/>
                <w:lang w:val="en-US" w:eastAsia="zh-CN"/>
              </w:rPr>
              <w:t>9</w:t>
            </w:r>
          </w:p>
        </w:tc>
        <w:tc>
          <w:tcPr>
            <w:tcW w:w="3867" w:type="dxa"/>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Helvetica"/>
                <w:bCs/>
                <w:color w:val="auto"/>
                <w:sz w:val="21"/>
                <w:szCs w:val="21"/>
                <w:lang w:eastAsia="zh-CN"/>
              </w:rPr>
            </w:pPr>
          </w:p>
        </w:tc>
      </w:tr>
    </w:tbl>
    <w:p>
      <w:pPr>
        <w:keepNext w:val="0"/>
        <w:keepLines w:val="0"/>
        <w:pageBreakBefore w:val="0"/>
        <w:widowControl/>
        <w:shd w:val="clear" w:color="auto" w:fill="FFFFFF"/>
        <w:kinsoku/>
        <w:wordWrap/>
        <w:overflowPunct/>
        <w:topLinePunct w:val="0"/>
        <w:autoSpaceDE/>
        <w:autoSpaceDN/>
        <w:bidi w:val="0"/>
        <w:adjustRightInd/>
        <w:snapToGrid/>
        <w:spacing w:line="300" w:lineRule="auto"/>
        <w:jc w:val="left"/>
        <w:textAlignment w:val="auto"/>
        <w:rPr>
          <w:rFonts w:cs="宋体" w:asciiTheme="minorEastAsia" w:hAnsiTheme="minorEastAsia"/>
          <w:kern w:val="0"/>
          <w:szCs w:val="21"/>
        </w:rPr>
      </w:pPr>
      <w:r>
        <w:rPr>
          <w:rFonts w:hint="eastAsia" w:cs="宋体" w:asciiTheme="minorEastAsia" w:hAnsiTheme="minorEastAsia"/>
          <w:b/>
          <w:bCs/>
          <w:kern w:val="0"/>
          <w:szCs w:val="21"/>
        </w:rPr>
        <w:t>二、成交信息：</w:t>
      </w:r>
    </w:p>
    <w:p>
      <w:pPr>
        <w:keepNext w:val="0"/>
        <w:keepLines w:val="0"/>
        <w:pageBreakBefore w:val="0"/>
        <w:widowControl/>
        <w:shd w:val="clear" w:color="auto" w:fill="FFFFFF"/>
        <w:kinsoku/>
        <w:wordWrap/>
        <w:overflowPunct/>
        <w:topLinePunct w:val="0"/>
        <w:autoSpaceDE/>
        <w:autoSpaceDN/>
        <w:bidi w:val="0"/>
        <w:adjustRightInd/>
        <w:snapToGrid/>
        <w:spacing w:line="300" w:lineRule="auto"/>
        <w:ind w:firstLine="420" w:firstLineChars="200"/>
        <w:jc w:val="left"/>
        <w:textAlignment w:val="auto"/>
        <w:rPr>
          <w:rFonts w:hint="eastAsia" w:cs="宋体" w:asciiTheme="minorEastAsia" w:hAnsiTheme="minorEastAsia"/>
          <w:kern w:val="0"/>
          <w:szCs w:val="21"/>
        </w:rPr>
      </w:pPr>
      <w:r>
        <w:rPr>
          <w:rFonts w:hint="eastAsia" w:cs="宋体" w:asciiTheme="minorEastAsia" w:hAnsiTheme="minorEastAsia"/>
          <w:kern w:val="0"/>
          <w:szCs w:val="21"/>
        </w:rPr>
        <w:t>成交</w:t>
      </w:r>
      <w:r>
        <w:rPr>
          <w:rFonts w:hint="eastAsia" w:cs="宋体" w:asciiTheme="minorEastAsia" w:hAnsiTheme="minorEastAsia"/>
          <w:kern w:val="0"/>
          <w:szCs w:val="21"/>
          <w:lang w:val="en-US" w:eastAsia="zh-CN"/>
        </w:rPr>
        <w:t>供应商</w:t>
      </w:r>
      <w:r>
        <w:rPr>
          <w:rFonts w:hint="eastAsia" w:cs="宋体" w:asciiTheme="minorEastAsia" w:hAnsiTheme="minorEastAsia"/>
          <w:kern w:val="0"/>
          <w:szCs w:val="21"/>
        </w:rPr>
        <w:t>名称：</w:t>
      </w:r>
      <w:r>
        <w:rPr>
          <w:rFonts w:hint="eastAsia" w:cs="宋体" w:asciiTheme="minorEastAsia" w:hAnsiTheme="minorEastAsia"/>
          <w:kern w:val="0"/>
          <w:szCs w:val="21"/>
          <w:lang w:val="en-US" w:eastAsia="zh-CN"/>
        </w:rPr>
        <w:t>河源市亦晨文化科技有限公司</w:t>
      </w:r>
    </w:p>
    <w:p>
      <w:pPr>
        <w:keepNext w:val="0"/>
        <w:keepLines w:val="0"/>
        <w:pageBreakBefore w:val="0"/>
        <w:widowControl/>
        <w:shd w:val="clear" w:color="auto" w:fill="FFFFFF"/>
        <w:kinsoku/>
        <w:wordWrap/>
        <w:overflowPunct/>
        <w:topLinePunct w:val="0"/>
        <w:autoSpaceDE/>
        <w:autoSpaceDN/>
        <w:bidi w:val="0"/>
        <w:adjustRightInd/>
        <w:snapToGrid/>
        <w:spacing w:line="300" w:lineRule="auto"/>
        <w:ind w:firstLine="420" w:firstLineChars="200"/>
        <w:jc w:val="left"/>
        <w:textAlignment w:val="auto"/>
        <w:rPr>
          <w:rFonts w:hint="default" w:cs="宋体" w:asciiTheme="minorEastAsia" w:hAnsiTheme="minorEastAsia"/>
          <w:kern w:val="0"/>
          <w:szCs w:val="21"/>
          <w:lang w:val="en-US"/>
        </w:rPr>
      </w:pPr>
      <w:r>
        <w:rPr>
          <w:rFonts w:hint="eastAsia" w:cs="宋体" w:asciiTheme="minorEastAsia" w:hAnsiTheme="minorEastAsia"/>
          <w:kern w:val="0"/>
          <w:szCs w:val="21"/>
        </w:rPr>
        <w:t>成交</w:t>
      </w:r>
      <w:r>
        <w:rPr>
          <w:rFonts w:hint="eastAsia" w:cs="宋体" w:asciiTheme="minorEastAsia" w:hAnsiTheme="minorEastAsia"/>
          <w:kern w:val="0"/>
          <w:szCs w:val="21"/>
          <w:lang w:val="en-US" w:eastAsia="zh-CN"/>
        </w:rPr>
        <w:t>折扣率</w:t>
      </w:r>
      <w:r>
        <w:rPr>
          <w:rFonts w:hint="eastAsia" w:cs="宋体" w:asciiTheme="minorEastAsia" w:hAnsiTheme="minorEastAsia"/>
          <w:kern w:val="0"/>
          <w:szCs w:val="21"/>
        </w:rPr>
        <w:t>：</w:t>
      </w:r>
      <w:r>
        <w:rPr>
          <w:rFonts w:hint="eastAsia" w:cs="宋体" w:asciiTheme="minorEastAsia" w:hAnsiTheme="minorEastAsia"/>
          <w:kern w:val="0"/>
          <w:szCs w:val="21"/>
          <w:lang w:val="en-US" w:eastAsia="zh-CN"/>
        </w:rPr>
        <w:t>72.00%</w:t>
      </w:r>
    </w:p>
    <w:p>
      <w:pPr>
        <w:keepNext w:val="0"/>
        <w:keepLines w:val="0"/>
        <w:pageBreakBefore w:val="0"/>
        <w:widowControl/>
        <w:shd w:val="clear" w:color="auto" w:fill="FFFFFF"/>
        <w:kinsoku/>
        <w:wordWrap/>
        <w:overflowPunct/>
        <w:topLinePunct w:val="0"/>
        <w:autoSpaceDE/>
        <w:autoSpaceDN/>
        <w:bidi w:val="0"/>
        <w:adjustRightInd/>
        <w:snapToGrid/>
        <w:spacing w:line="300" w:lineRule="auto"/>
        <w:jc w:val="left"/>
        <w:textAlignment w:val="auto"/>
        <w:rPr>
          <w:rFonts w:cs="宋体" w:asciiTheme="minorEastAsia" w:hAnsiTheme="minorEastAsia"/>
          <w:kern w:val="0"/>
          <w:szCs w:val="21"/>
        </w:rPr>
      </w:pPr>
      <w:r>
        <w:rPr>
          <w:rFonts w:hint="eastAsia" w:cs="宋体" w:asciiTheme="minorEastAsia" w:hAnsiTheme="minorEastAsia"/>
          <w:b/>
          <w:bCs/>
          <w:kern w:val="0"/>
          <w:szCs w:val="21"/>
        </w:rPr>
        <w:t>三、采购人、采购代理机构的名称、地址和联系方式</w:t>
      </w:r>
    </w:p>
    <w:p>
      <w:pPr>
        <w:keepNext w:val="0"/>
        <w:keepLines w:val="0"/>
        <w:pageBreakBefore w:val="0"/>
        <w:widowControl/>
        <w:shd w:val="clear" w:color="auto" w:fill="FFFFFF"/>
        <w:kinsoku/>
        <w:wordWrap/>
        <w:overflowPunct/>
        <w:topLinePunct w:val="0"/>
        <w:autoSpaceDE/>
        <w:autoSpaceDN/>
        <w:bidi w:val="0"/>
        <w:adjustRightInd/>
        <w:snapToGrid/>
        <w:spacing w:line="300" w:lineRule="auto"/>
        <w:ind w:firstLine="420" w:firstLineChars="200"/>
        <w:jc w:val="left"/>
        <w:textAlignment w:val="auto"/>
        <w:rPr>
          <w:rFonts w:cs="宋体" w:asciiTheme="minorEastAsia" w:hAnsiTheme="minorEastAsia"/>
          <w:kern w:val="0"/>
          <w:szCs w:val="21"/>
        </w:rPr>
      </w:pPr>
      <w:r>
        <w:rPr>
          <w:rFonts w:hint="eastAsia" w:cs="宋体" w:asciiTheme="minorEastAsia" w:hAnsiTheme="minorEastAsia"/>
          <w:kern w:val="0"/>
          <w:szCs w:val="21"/>
        </w:rPr>
        <w:t>1、采购人联系方式</w:t>
      </w:r>
    </w:p>
    <w:p>
      <w:pPr>
        <w:keepNext w:val="0"/>
        <w:keepLines w:val="0"/>
        <w:pageBreakBefore w:val="0"/>
        <w:widowControl/>
        <w:shd w:val="clear" w:color="auto" w:fill="FFFFFF"/>
        <w:kinsoku/>
        <w:wordWrap/>
        <w:overflowPunct/>
        <w:topLinePunct w:val="0"/>
        <w:autoSpaceDE/>
        <w:autoSpaceDN/>
        <w:bidi w:val="0"/>
        <w:adjustRightInd/>
        <w:snapToGrid/>
        <w:spacing w:line="300" w:lineRule="auto"/>
        <w:ind w:firstLine="420" w:firstLineChars="200"/>
        <w:jc w:val="left"/>
        <w:textAlignment w:val="auto"/>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rPr>
        <w:t>采购人名称：</w:t>
      </w:r>
      <w:r>
        <w:rPr>
          <w:rFonts w:hint="eastAsia" w:cs="宋体" w:asciiTheme="minorEastAsia" w:hAnsiTheme="minorEastAsia"/>
          <w:kern w:val="0"/>
          <w:szCs w:val="21"/>
          <w:lang w:eastAsia="zh-CN"/>
        </w:rPr>
        <w:t>广东省广裕集团河源莲塘实业有限责任公司</w:t>
      </w:r>
    </w:p>
    <w:p>
      <w:pPr>
        <w:keepNext w:val="0"/>
        <w:keepLines w:val="0"/>
        <w:pageBreakBefore w:val="0"/>
        <w:widowControl/>
        <w:shd w:val="clear" w:color="auto" w:fill="FFFFFF"/>
        <w:kinsoku/>
        <w:wordWrap/>
        <w:overflowPunct/>
        <w:topLinePunct w:val="0"/>
        <w:autoSpaceDE/>
        <w:autoSpaceDN/>
        <w:bidi w:val="0"/>
        <w:adjustRightInd/>
        <w:snapToGrid/>
        <w:spacing w:line="300" w:lineRule="auto"/>
        <w:ind w:firstLine="420" w:firstLineChars="200"/>
        <w:jc w:val="left"/>
        <w:textAlignment w:val="auto"/>
        <w:rPr>
          <w:rFonts w:cs="宋体" w:asciiTheme="minorEastAsia" w:hAnsiTheme="minorEastAsia"/>
          <w:kern w:val="0"/>
          <w:szCs w:val="21"/>
        </w:rPr>
      </w:pPr>
      <w:r>
        <w:rPr>
          <w:rFonts w:hint="eastAsia" w:cs="宋体" w:asciiTheme="minorEastAsia" w:hAnsiTheme="minorEastAsia"/>
          <w:kern w:val="0"/>
          <w:szCs w:val="21"/>
        </w:rPr>
        <w:t>采购人地址：河源市源城区东环路南2号</w:t>
      </w:r>
    </w:p>
    <w:p>
      <w:pPr>
        <w:keepNext w:val="0"/>
        <w:keepLines w:val="0"/>
        <w:pageBreakBefore w:val="0"/>
        <w:widowControl/>
        <w:shd w:val="clear" w:color="auto" w:fill="FFFFFF"/>
        <w:kinsoku/>
        <w:wordWrap/>
        <w:overflowPunct/>
        <w:topLinePunct w:val="0"/>
        <w:autoSpaceDE/>
        <w:autoSpaceDN/>
        <w:bidi w:val="0"/>
        <w:adjustRightInd/>
        <w:snapToGrid/>
        <w:spacing w:line="300" w:lineRule="auto"/>
        <w:ind w:firstLine="420" w:firstLineChars="200"/>
        <w:jc w:val="left"/>
        <w:textAlignment w:val="auto"/>
        <w:rPr>
          <w:rFonts w:cs="宋体" w:asciiTheme="minorEastAsia" w:hAnsiTheme="minorEastAsia"/>
          <w:kern w:val="0"/>
          <w:szCs w:val="21"/>
        </w:rPr>
      </w:pPr>
      <w:r>
        <w:rPr>
          <w:rFonts w:hint="eastAsia" w:cs="宋体" w:asciiTheme="minorEastAsia" w:hAnsiTheme="minorEastAsia"/>
          <w:kern w:val="0"/>
          <w:szCs w:val="21"/>
        </w:rPr>
        <w:t>2、采购代理机构名称、地址和联系方式</w:t>
      </w:r>
    </w:p>
    <w:p>
      <w:pPr>
        <w:keepNext w:val="0"/>
        <w:keepLines w:val="0"/>
        <w:pageBreakBefore w:val="0"/>
        <w:widowControl/>
        <w:shd w:val="clear" w:color="auto" w:fill="FFFFFF"/>
        <w:kinsoku/>
        <w:wordWrap/>
        <w:overflowPunct/>
        <w:topLinePunct w:val="0"/>
        <w:autoSpaceDE/>
        <w:autoSpaceDN/>
        <w:bidi w:val="0"/>
        <w:adjustRightInd/>
        <w:snapToGrid/>
        <w:spacing w:line="300" w:lineRule="auto"/>
        <w:ind w:firstLine="420" w:firstLineChars="200"/>
        <w:jc w:val="left"/>
        <w:textAlignment w:val="auto"/>
        <w:rPr>
          <w:rFonts w:cs="宋体" w:asciiTheme="minorEastAsia" w:hAnsiTheme="minorEastAsia"/>
          <w:kern w:val="0"/>
          <w:szCs w:val="21"/>
        </w:rPr>
      </w:pPr>
      <w:r>
        <w:rPr>
          <w:rFonts w:hint="eastAsia" w:cs="宋体" w:asciiTheme="minorEastAsia" w:hAnsiTheme="minorEastAsia"/>
          <w:kern w:val="0"/>
          <w:szCs w:val="21"/>
        </w:rPr>
        <w:t>采购代理机构名称：广州顺为招标采购有限公司（网址：www.gzswbc.com）</w:t>
      </w:r>
    </w:p>
    <w:p>
      <w:pPr>
        <w:keepNext w:val="0"/>
        <w:keepLines w:val="0"/>
        <w:pageBreakBefore w:val="0"/>
        <w:widowControl/>
        <w:shd w:val="clear" w:color="auto" w:fill="FFFFFF"/>
        <w:kinsoku/>
        <w:wordWrap/>
        <w:overflowPunct/>
        <w:topLinePunct w:val="0"/>
        <w:autoSpaceDE/>
        <w:autoSpaceDN/>
        <w:bidi w:val="0"/>
        <w:adjustRightInd/>
        <w:snapToGrid/>
        <w:spacing w:line="300" w:lineRule="auto"/>
        <w:ind w:firstLine="420" w:firstLineChars="200"/>
        <w:jc w:val="left"/>
        <w:textAlignment w:val="auto"/>
        <w:rPr>
          <w:rFonts w:cs="宋体" w:asciiTheme="minorEastAsia" w:hAnsiTheme="minorEastAsia"/>
          <w:kern w:val="0"/>
          <w:szCs w:val="21"/>
        </w:rPr>
      </w:pPr>
      <w:r>
        <w:rPr>
          <w:rFonts w:hint="eastAsia" w:cs="宋体" w:asciiTheme="minorEastAsia" w:hAnsiTheme="minorEastAsia"/>
          <w:kern w:val="0"/>
          <w:szCs w:val="21"/>
        </w:rPr>
        <w:t>采购代理机构地点：广州市环市中路205号恒生大厦B座501室</w:t>
      </w:r>
    </w:p>
    <w:p>
      <w:pPr>
        <w:keepNext w:val="0"/>
        <w:keepLines w:val="0"/>
        <w:pageBreakBefore w:val="0"/>
        <w:widowControl/>
        <w:shd w:val="clear" w:color="auto" w:fill="FFFFFF"/>
        <w:kinsoku/>
        <w:wordWrap/>
        <w:overflowPunct/>
        <w:topLinePunct w:val="0"/>
        <w:autoSpaceDE/>
        <w:autoSpaceDN/>
        <w:bidi w:val="0"/>
        <w:adjustRightInd/>
        <w:snapToGrid/>
        <w:spacing w:line="300" w:lineRule="auto"/>
        <w:ind w:firstLine="420" w:firstLineChars="200"/>
        <w:jc w:val="left"/>
        <w:textAlignment w:val="auto"/>
        <w:rPr>
          <w:rFonts w:cs="宋体" w:asciiTheme="minorEastAsia" w:hAnsiTheme="minorEastAsia"/>
          <w:kern w:val="0"/>
          <w:szCs w:val="21"/>
        </w:rPr>
      </w:pPr>
      <w:r>
        <w:rPr>
          <w:rFonts w:hint="eastAsia" w:cs="宋体" w:asciiTheme="minorEastAsia" w:hAnsiTheme="minorEastAsia"/>
          <w:kern w:val="0"/>
          <w:szCs w:val="21"/>
        </w:rPr>
        <w:t>采购项目联系人姓名：欧阳小姐</w:t>
      </w:r>
    </w:p>
    <w:p>
      <w:pPr>
        <w:keepNext w:val="0"/>
        <w:keepLines w:val="0"/>
        <w:pageBreakBefore w:val="0"/>
        <w:widowControl/>
        <w:shd w:val="clear" w:color="auto" w:fill="FFFFFF"/>
        <w:kinsoku/>
        <w:wordWrap/>
        <w:overflowPunct/>
        <w:topLinePunct w:val="0"/>
        <w:autoSpaceDE/>
        <w:autoSpaceDN/>
        <w:bidi w:val="0"/>
        <w:adjustRightInd/>
        <w:snapToGrid/>
        <w:spacing w:line="300" w:lineRule="auto"/>
        <w:ind w:firstLine="420" w:firstLineChars="200"/>
        <w:jc w:val="left"/>
        <w:textAlignment w:val="auto"/>
        <w:rPr>
          <w:rFonts w:cs="宋体" w:asciiTheme="minorEastAsia" w:hAnsiTheme="minorEastAsia"/>
          <w:kern w:val="0"/>
          <w:szCs w:val="21"/>
        </w:rPr>
      </w:pPr>
      <w:r>
        <w:rPr>
          <w:rFonts w:hint="eastAsia" w:cs="宋体" w:asciiTheme="minorEastAsia" w:hAnsiTheme="minorEastAsia"/>
          <w:kern w:val="0"/>
          <w:szCs w:val="21"/>
        </w:rPr>
        <w:t>采购项目联系人电话：020-83592216-8</w:t>
      </w:r>
      <w:r>
        <w:rPr>
          <w:rFonts w:cs="宋体" w:asciiTheme="minorEastAsia" w:hAnsiTheme="minorEastAsia"/>
          <w:kern w:val="0"/>
          <w:szCs w:val="21"/>
        </w:rPr>
        <w:t>09</w:t>
      </w:r>
    </w:p>
    <w:p>
      <w:pPr>
        <w:keepNext w:val="0"/>
        <w:keepLines w:val="0"/>
        <w:pageBreakBefore w:val="0"/>
        <w:widowControl/>
        <w:shd w:val="clear" w:color="auto" w:fill="FFFFFF"/>
        <w:kinsoku/>
        <w:wordWrap/>
        <w:overflowPunct/>
        <w:topLinePunct w:val="0"/>
        <w:autoSpaceDE/>
        <w:autoSpaceDN/>
        <w:bidi w:val="0"/>
        <w:adjustRightInd/>
        <w:spacing w:line="360" w:lineRule="auto"/>
        <w:jc w:val="right"/>
        <w:textAlignment w:val="auto"/>
        <w:rPr>
          <w:rFonts w:cs="宋体" w:asciiTheme="minorEastAsia" w:hAnsiTheme="minorEastAsia"/>
          <w:kern w:val="0"/>
          <w:szCs w:val="21"/>
        </w:rPr>
      </w:pPr>
      <w:r>
        <w:rPr>
          <w:rFonts w:hint="eastAsia" w:cs="宋体" w:asciiTheme="minorEastAsia" w:hAnsiTheme="minorEastAsia"/>
          <w:kern w:val="0"/>
          <w:szCs w:val="21"/>
          <w:lang w:eastAsia="zh-CN"/>
        </w:rPr>
        <w:t>广东省广裕集团河源莲塘实业有限责任公司</w:t>
      </w:r>
    </w:p>
    <w:p>
      <w:pPr>
        <w:keepNext w:val="0"/>
        <w:keepLines w:val="0"/>
        <w:pageBreakBefore w:val="0"/>
        <w:widowControl/>
        <w:shd w:val="clear" w:color="auto" w:fill="FFFFFF"/>
        <w:kinsoku/>
        <w:wordWrap/>
        <w:overflowPunct/>
        <w:topLinePunct w:val="0"/>
        <w:autoSpaceDE/>
        <w:autoSpaceDN/>
        <w:bidi w:val="0"/>
        <w:adjustRightInd/>
        <w:spacing w:line="360" w:lineRule="auto"/>
        <w:jc w:val="right"/>
        <w:textAlignment w:val="auto"/>
        <w:rPr>
          <w:rFonts w:asciiTheme="minorEastAsia" w:hAnsiTheme="minorEastAsia"/>
        </w:rPr>
      </w:pPr>
      <w:r>
        <w:rPr>
          <w:rFonts w:hint="eastAsia" w:cs="宋体" w:asciiTheme="minorEastAsia" w:hAnsiTheme="minorEastAsia"/>
          <w:kern w:val="0"/>
          <w:szCs w:val="21"/>
          <w:highlight w:val="none"/>
          <w:lang w:eastAsia="zh-CN"/>
        </w:rPr>
        <w:t>2025年</w:t>
      </w:r>
      <w:r>
        <w:rPr>
          <w:rFonts w:hint="eastAsia" w:cs="宋体" w:asciiTheme="minorEastAsia" w:hAnsiTheme="minorEastAsia"/>
          <w:kern w:val="0"/>
          <w:szCs w:val="21"/>
          <w:highlight w:val="none"/>
          <w:lang w:val="en-US" w:eastAsia="zh-CN"/>
        </w:rPr>
        <w:t>1</w:t>
      </w:r>
      <w:bookmarkStart w:id="0" w:name="_GoBack"/>
      <w:bookmarkEnd w:id="0"/>
      <w:r>
        <w:rPr>
          <w:rFonts w:hint="eastAsia" w:cs="宋体" w:asciiTheme="minorEastAsia" w:hAnsiTheme="minorEastAsia"/>
          <w:kern w:val="0"/>
          <w:szCs w:val="21"/>
          <w:highlight w:val="none"/>
          <w:lang w:val="en-US" w:eastAsia="zh-CN"/>
        </w:rPr>
        <w:t>1</w:t>
      </w:r>
      <w:r>
        <w:rPr>
          <w:rFonts w:hint="eastAsia" w:cs="宋体" w:asciiTheme="minorEastAsia" w:hAnsiTheme="minorEastAsia"/>
          <w:color w:val="auto"/>
          <w:kern w:val="0"/>
          <w:szCs w:val="21"/>
          <w:highlight w:val="none"/>
        </w:rPr>
        <w:t>月</w:t>
      </w:r>
      <w:r>
        <w:rPr>
          <w:rFonts w:hint="eastAsia" w:cs="宋体" w:asciiTheme="minorEastAsia" w:hAnsiTheme="minorEastAsia"/>
          <w:color w:val="auto"/>
          <w:kern w:val="0"/>
          <w:szCs w:val="21"/>
          <w:highlight w:val="none"/>
          <w:lang w:val="en-US" w:eastAsia="zh-CN"/>
        </w:rPr>
        <w:t>11</w:t>
      </w:r>
      <w:r>
        <w:rPr>
          <w:rFonts w:hint="eastAsia" w:cs="宋体" w:asciiTheme="minorEastAsia" w:hAnsiTheme="minorEastAsia"/>
          <w:color w:val="auto"/>
          <w:kern w:val="0"/>
          <w:szCs w:val="21"/>
          <w:highlight w:val="none"/>
        </w:rPr>
        <w:t>日</w:t>
      </w:r>
    </w:p>
    <w:sectPr>
      <w:pgSz w:w="11906" w:h="16838"/>
      <w:pgMar w:top="567" w:right="1134" w:bottom="85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4MzgxMTczMzk0YzJkNjA0YWY5NzI1N2JkNTcyMTIifQ=="/>
  </w:docVars>
  <w:rsids>
    <w:rsidRoot w:val="000A47AF"/>
    <w:rsid w:val="00003BAF"/>
    <w:rsid w:val="000756D5"/>
    <w:rsid w:val="000A47AF"/>
    <w:rsid w:val="000B7547"/>
    <w:rsid w:val="000E1F84"/>
    <w:rsid w:val="000F38F6"/>
    <w:rsid w:val="00166A99"/>
    <w:rsid w:val="001C2F1E"/>
    <w:rsid w:val="00227139"/>
    <w:rsid w:val="0025709B"/>
    <w:rsid w:val="002B3465"/>
    <w:rsid w:val="002E2667"/>
    <w:rsid w:val="00352FA7"/>
    <w:rsid w:val="003B185F"/>
    <w:rsid w:val="00415FBB"/>
    <w:rsid w:val="00423701"/>
    <w:rsid w:val="0049435F"/>
    <w:rsid w:val="004F72FA"/>
    <w:rsid w:val="005476CC"/>
    <w:rsid w:val="00562436"/>
    <w:rsid w:val="005F6669"/>
    <w:rsid w:val="0069626B"/>
    <w:rsid w:val="006A5F74"/>
    <w:rsid w:val="006B3D27"/>
    <w:rsid w:val="006E33A1"/>
    <w:rsid w:val="006F6C94"/>
    <w:rsid w:val="00705632"/>
    <w:rsid w:val="007E4C59"/>
    <w:rsid w:val="007F6D63"/>
    <w:rsid w:val="00823A80"/>
    <w:rsid w:val="0082667B"/>
    <w:rsid w:val="00842A90"/>
    <w:rsid w:val="00862CCC"/>
    <w:rsid w:val="0089761B"/>
    <w:rsid w:val="008F6F4E"/>
    <w:rsid w:val="00912B0D"/>
    <w:rsid w:val="00923088"/>
    <w:rsid w:val="009607C1"/>
    <w:rsid w:val="009E40DC"/>
    <w:rsid w:val="009E713C"/>
    <w:rsid w:val="00A33616"/>
    <w:rsid w:val="00A6047C"/>
    <w:rsid w:val="00A83B63"/>
    <w:rsid w:val="00A87815"/>
    <w:rsid w:val="00AC24B1"/>
    <w:rsid w:val="00B44883"/>
    <w:rsid w:val="00BB0B64"/>
    <w:rsid w:val="00BC1448"/>
    <w:rsid w:val="00BC6C9A"/>
    <w:rsid w:val="00BD6665"/>
    <w:rsid w:val="00BE7D01"/>
    <w:rsid w:val="00BF68E5"/>
    <w:rsid w:val="00C476F3"/>
    <w:rsid w:val="00CB12D6"/>
    <w:rsid w:val="00CB64BF"/>
    <w:rsid w:val="00D33DC2"/>
    <w:rsid w:val="00DC560B"/>
    <w:rsid w:val="00DD6958"/>
    <w:rsid w:val="00DE699D"/>
    <w:rsid w:val="00DF1C20"/>
    <w:rsid w:val="00DF3A2B"/>
    <w:rsid w:val="00E05594"/>
    <w:rsid w:val="00E165CF"/>
    <w:rsid w:val="00E3661A"/>
    <w:rsid w:val="00E64C49"/>
    <w:rsid w:val="00EC6B15"/>
    <w:rsid w:val="00EE7954"/>
    <w:rsid w:val="00F90039"/>
    <w:rsid w:val="00FC421B"/>
    <w:rsid w:val="00FD1947"/>
    <w:rsid w:val="076E7D1A"/>
    <w:rsid w:val="11C94359"/>
    <w:rsid w:val="153A719D"/>
    <w:rsid w:val="15E908D3"/>
    <w:rsid w:val="1BAA21BA"/>
    <w:rsid w:val="24CF6877"/>
    <w:rsid w:val="2DDA6CAB"/>
    <w:rsid w:val="2F4E08A0"/>
    <w:rsid w:val="363D0F77"/>
    <w:rsid w:val="3DFBE1B1"/>
    <w:rsid w:val="3E99DF15"/>
    <w:rsid w:val="3EFFAE6A"/>
    <w:rsid w:val="51E54A27"/>
    <w:rsid w:val="54F470CB"/>
    <w:rsid w:val="58D14694"/>
    <w:rsid w:val="58D91EB5"/>
    <w:rsid w:val="64FF319F"/>
    <w:rsid w:val="6CCE7137"/>
    <w:rsid w:val="6DBFE8A4"/>
    <w:rsid w:val="735F8C90"/>
    <w:rsid w:val="750322C2"/>
    <w:rsid w:val="7BDB41BB"/>
    <w:rsid w:val="7CFC482F"/>
    <w:rsid w:val="7DEFB1FB"/>
    <w:rsid w:val="7E336A2D"/>
    <w:rsid w:val="97731A75"/>
    <w:rsid w:val="BDB732D6"/>
    <w:rsid w:val="DFBE732C"/>
    <w:rsid w:val="FDEFBE82"/>
    <w:rsid w:val="FEBFECF3"/>
    <w:rsid w:val="FEFE6109"/>
    <w:rsid w:val="FF2E3294"/>
    <w:rsid w:val="FFEF08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99"/>
    <w:rPr>
      <w:sz w:val="18"/>
      <w:szCs w:val="18"/>
    </w:rPr>
  </w:style>
  <w:style w:type="character" w:customStyle="1" w:styleId="8">
    <w:name w:val="页脚 Char"/>
    <w:basedOn w:val="5"/>
    <w:link w:val="3"/>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1</Pages>
  <Words>583</Words>
  <Characters>720</Characters>
  <Lines>5</Lines>
  <Paragraphs>1</Paragraphs>
  <TotalTime>104</TotalTime>
  <ScaleCrop>false</ScaleCrop>
  <LinksUpToDate>false</LinksUpToDate>
  <CharactersWithSpaces>720</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2022-05-31T09:31:00Z</dcterms:created>
  <dc:creator>Windows 用户</dc:creator>
  <cp:lastModifiedBy>曾瑾</cp:lastModifiedBy>
  <dcterms:modified xsi:type="dcterms:W3CDTF">2025-11-10T02:44:44Z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y fmtid="{D5CDD505-2E9C-101B-9397-08002B2CF9AE}" pid="3" name="ICV">
    <vt:lpwstr>88FE7BB562E24664B6E42D9955A501B6_12</vt:lpwstr>
  </property>
  <property fmtid="{D5CDD505-2E9C-101B-9397-08002B2CF9AE}" pid="4" name="KSOTemplateDocerSaveRecord">
    <vt:lpwstr>eyJoZGlkIjoiYzU4MzgxMTczMzk0YzJkNjA0YWY5NzI1N2JkNTcyMTIiLCJ1c2VySWQiOiI2MzA1NjQ0NTYifQ==</vt:lpwstr>
  </property>
</Properties>
</file>